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6C1763" w:rsidRPr="00DB7C1C" w:rsidTr="002C76CC">
        <w:tc>
          <w:tcPr>
            <w:tcW w:w="5920" w:type="dxa"/>
          </w:tcPr>
          <w:p w:rsidR="006C1763" w:rsidRDefault="006C1763" w:rsidP="002C76CC">
            <w:pPr>
              <w:pStyle w:val="Heading1"/>
              <w:ind w:right="45"/>
              <w:jc w:val="left"/>
              <w:rPr>
                <w:rFonts w:ascii="Tahoma" w:hAnsi="Tahoma" w:cs="Tahoma"/>
                <w:sz w:val="30"/>
              </w:rPr>
            </w:pPr>
            <w:r>
              <w:rPr>
                <w:rFonts w:ascii="Tahoma" w:hAnsi="Tahoma" w:cs="Tahoma"/>
                <w:sz w:val="30"/>
              </w:rPr>
              <w:t xml:space="preserve">WEST WALES </w:t>
            </w:r>
            <w:r w:rsidR="00E35AE5">
              <w:rPr>
                <w:rFonts w:ascii="Tahoma" w:hAnsi="Tahoma" w:cs="Tahoma"/>
                <w:sz w:val="30"/>
              </w:rPr>
              <w:t>REGIONAL PARTNERSHIP</w:t>
            </w:r>
            <w:r>
              <w:rPr>
                <w:rFonts w:ascii="Tahoma" w:hAnsi="Tahoma" w:cs="Tahoma"/>
                <w:sz w:val="30"/>
              </w:rPr>
              <w:t xml:space="preserve"> BOARD</w:t>
            </w:r>
          </w:p>
          <w:p w:rsidR="006C1763" w:rsidRPr="00702A35" w:rsidRDefault="006C1763" w:rsidP="002C76CC"/>
        </w:tc>
        <w:tc>
          <w:tcPr>
            <w:tcW w:w="3240" w:type="dxa"/>
          </w:tcPr>
          <w:p w:rsidR="006C1763" w:rsidRPr="00DB7C1C" w:rsidRDefault="006C1763" w:rsidP="00B5521A">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B5521A">
              <w:rPr>
                <w:rFonts w:ascii="Tahoma" w:hAnsi="Tahoma" w:cs="Tahoma"/>
                <w:sz w:val="30"/>
              </w:rPr>
              <w:t>4</w:t>
            </w:r>
          </w:p>
        </w:tc>
      </w:tr>
    </w:tbl>
    <w:p w:rsidR="006C1763" w:rsidRPr="00DB7C1C" w:rsidRDefault="00C27993" w:rsidP="006C1763">
      <w:pPr>
        <w:pStyle w:val="Heading1"/>
        <w:pBdr>
          <w:bottom w:val="single" w:sz="12" w:space="7" w:color="auto"/>
        </w:pBdr>
        <w:ind w:right="45"/>
        <w:rPr>
          <w:rFonts w:ascii="Tahoma" w:hAnsi="Tahoma" w:cs="Tahoma"/>
          <w:b w:val="0"/>
          <w:sz w:val="32"/>
        </w:rPr>
      </w:pPr>
      <w:r>
        <w:rPr>
          <w:rFonts w:ascii="Tahoma" w:hAnsi="Tahoma" w:cs="Tahoma"/>
          <w:b w:val="0"/>
          <w:sz w:val="28"/>
        </w:rPr>
        <w:t>19 MAY 2017</w:t>
      </w:r>
    </w:p>
    <w:p w:rsidR="006C1763" w:rsidRDefault="00396DE0" w:rsidP="006C1763">
      <w:pPr>
        <w:rPr>
          <w:b/>
          <w:sz w:val="28"/>
          <w:szCs w:val="28"/>
        </w:rPr>
      </w:pPr>
      <w:r>
        <w:rPr>
          <w:b/>
          <w:sz w:val="28"/>
          <w:szCs w:val="28"/>
        </w:rPr>
        <w:t>Regional Priorities</w:t>
      </w:r>
      <w:r w:rsidR="00C27993">
        <w:rPr>
          <w:b/>
          <w:sz w:val="28"/>
          <w:szCs w:val="28"/>
        </w:rPr>
        <w:t xml:space="preserve"> Update</w:t>
      </w:r>
    </w:p>
    <w:tbl>
      <w:tblPr>
        <w:tblStyle w:val="TableGrid"/>
        <w:tblW w:w="0" w:type="auto"/>
        <w:tblLook w:val="04A0" w:firstRow="1" w:lastRow="0" w:firstColumn="1" w:lastColumn="0" w:noHBand="0" w:noVBand="1"/>
      </w:tblPr>
      <w:tblGrid>
        <w:gridCol w:w="9016"/>
      </w:tblGrid>
      <w:tr w:rsidR="00F70DBD" w:rsidTr="00F70DBD">
        <w:tc>
          <w:tcPr>
            <w:tcW w:w="9016" w:type="dxa"/>
          </w:tcPr>
          <w:p w:rsidR="00F70DBD" w:rsidRDefault="00F70DBD" w:rsidP="00F70DBD">
            <w:pPr>
              <w:rPr>
                <w:b/>
              </w:rPr>
            </w:pPr>
            <w:r>
              <w:rPr>
                <w:b/>
              </w:rPr>
              <w:t>Summary of report and key issues</w:t>
            </w:r>
          </w:p>
          <w:p w:rsidR="00F70DBD" w:rsidRDefault="00F70DBD" w:rsidP="00F70DBD">
            <w:pPr>
              <w:rPr>
                <w:b/>
              </w:rPr>
            </w:pPr>
          </w:p>
          <w:p w:rsidR="0078247B" w:rsidRPr="00BC1DE0" w:rsidRDefault="00ED7480" w:rsidP="00BC1DE0">
            <w:pPr>
              <w:pStyle w:val="ListParagraph"/>
              <w:numPr>
                <w:ilvl w:val="0"/>
                <w:numId w:val="37"/>
              </w:numPr>
              <w:ind w:left="360"/>
            </w:pPr>
            <w:r w:rsidRPr="00BC1DE0">
              <w:t>The RPB agreed five strategic priorities at its meeting on 15 December 2016. These are as follows:</w:t>
            </w:r>
          </w:p>
          <w:p w:rsidR="00ED7480" w:rsidRPr="00BC1DE0" w:rsidRDefault="00ED7480" w:rsidP="00BC1DE0"/>
          <w:p w:rsidR="00ED7480" w:rsidRPr="00BC1DE0" w:rsidRDefault="00ED7480" w:rsidP="00BC1DE0">
            <w:pPr>
              <w:pStyle w:val="ListParagraph"/>
              <w:numPr>
                <w:ilvl w:val="0"/>
                <w:numId w:val="38"/>
              </w:numPr>
            </w:pPr>
            <w:r w:rsidRPr="00BC1DE0">
              <w:t>Integrated commissioning (Pace setter - Pembrokeshire CC)</w:t>
            </w:r>
          </w:p>
          <w:p w:rsidR="00ED7480" w:rsidRPr="00BC1DE0" w:rsidRDefault="00ED7480" w:rsidP="00BC1DE0">
            <w:pPr>
              <w:pStyle w:val="ListParagraph"/>
              <w:numPr>
                <w:ilvl w:val="0"/>
                <w:numId w:val="38"/>
              </w:numPr>
            </w:pPr>
            <w:r w:rsidRPr="00BC1DE0">
              <w:t>Pooled funds (Carmarthenshire CC)</w:t>
            </w:r>
          </w:p>
          <w:p w:rsidR="00ED7480" w:rsidRPr="00BC1DE0" w:rsidRDefault="00ED7480" w:rsidP="00BC1DE0">
            <w:pPr>
              <w:pStyle w:val="ListParagraph"/>
              <w:numPr>
                <w:ilvl w:val="0"/>
                <w:numId w:val="38"/>
              </w:numPr>
            </w:pPr>
            <w:r w:rsidRPr="00BC1DE0">
              <w:t>Information, Assistance and Advice (IAA)/ prevention (Pace setter - Pembrokeshire CC)</w:t>
            </w:r>
          </w:p>
          <w:p w:rsidR="00ED7480" w:rsidRPr="00BC1DE0" w:rsidRDefault="00ED7480" w:rsidP="00BC1DE0">
            <w:pPr>
              <w:pStyle w:val="ListParagraph"/>
              <w:numPr>
                <w:ilvl w:val="0"/>
                <w:numId w:val="38"/>
              </w:numPr>
            </w:pPr>
            <w:r w:rsidRPr="00BC1DE0">
              <w:t>Implementation of the Welsh Community Care Information System (WCCIS) (Pace setter - Ceredigion CC)</w:t>
            </w:r>
          </w:p>
          <w:p w:rsidR="00ED7480" w:rsidRPr="00BC1DE0" w:rsidRDefault="00ED7480" w:rsidP="00BC1DE0">
            <w:pPr>
              <w:pStyle w:val="ListParagraph"/>
              <w:numPr>
                <w:ilvl w:val="0"/>
                <w:numId w:val="38"/>
              </w:numPr>
            </w:pPr>
            <w:r w:rsidRPr="00BC1DE0">
              <w:t>Transformation of learning disability and mental health services (Pace setter -  Hywel Dda UHB)</w:t>
            </w:r>
          </w:p>
          <w:p w:rsidR="00ED7480" w:rsidRPr="00BC1DE0" w:rsidRDefault="00ED7480" w:rsidP="00BC1DE0"/>
          <w:p w:rsidR="00BC1DE0" w:rsidRPr="00BC1DE0" w:rsidRDefault="00BC1DE0" w:rsidP="00BC1DE0">
            <w:pPr>
              <w:pStyle w:val="ListParagraph"/>
              <w:numPr>
                <w:ilvl w:val="0"/>
                <w:numId w:val="37"/>
              </w:numPr>
              <w:ind w:left="360"/>
            </w:pPr>
            <w:r w:rsidRPr="00BC1DE0">
              <w:t>Detailed programmes of activity are in place or are being developed in support of each priority. Programme capacity will be funded through the Integrated Care Fund (ICF).</w:t>
            </w:r>
          </w:p>
          <w:p w:rsidR="00BC1DE0" w:rsidRPr="00BC1DE0" w:rsidRDefault="00BC1DE0" w:rsidP="00BC1DE0"/>
          <w:p w:rsidR="00BC1DE0" w:rsidRPr="00BC1DE0" w:rsidRDefault="00BC1DE0" w:rsidP="00BC1DE0">
            <w:pPr>
              <w:pStyle w:val="ListParagraph"/>
              <w:numPr>
                <w:ilvl w:val="0"/>
                <w:numId w:val="37"/>
              </w:numPr>
              <w:ind w:left="360"/>
            </w:pPr>
            <w:r w:rsidRPr="00BC1DE0">
              <w:t>Regional governance structures will be in place for each priority and these will report through the Integrated Programme Delivery Board to the RPB.</w:t>
            </w:r>
          </w:p>
          <w:p w:rsidR="00BC1DE0" w:rsidRPr="00BC1DE0" w:rsidRDefault="00BC1DE0" w:rsidP="00BC1DE0"/>
          <w:p w:rsidR="00BC1DE0" w:rsidRPr="00BC1DE0" w:rsidRDefault="00BC1DE0" w:rsidP="00BC1DE0">
            <w:pPr>
              <w:pStyle w:val="ListParagraph"/>
              <w:numPr>
                <w:ilvl w:val="0"/>
                <w:numId w:val="37"/>
              </w:numPr>
              <w:ind w:left="360"/>
            </w:pPr>
            <w:r w:rsidRPr="00BC1DE0">
              <w:t>The report provides summary updates on progress to date in relation to each of the priorities.</w:t>
            </w:r>
          </w:p>
          <w:p w:rsidR="00BC1DE0" w:rsidRPr="00BC1DE0" w:rsidRDefault="00BC1DE0" w:rsidP="00BC1DE0"/>
          <w:p w:rsidR="00BC1DE0" w:rsidRPr="00BC1DE0" w:rsidRDefault="00BC1DE0" w:rsidP="00BC1DE0">
            <w:pPr>
              <w:pStyle w:val="ListParagraph"/>
              <w:numPr>
                <w:ilvl w:val="0"/>
                <w:numId w:val="37"/>
              </w:numPr>
              <w:ind w:left="360"/>
            </w:pPr>
            <w:r w:rsidRPr="00BC1DE0">
              <w:t>Future reporting to the RPB using a common highlight template will commence from July 2017.</w:t>
            </w:r>
          </w:p>
          <w:p w:rsidR="00BC1DE0" w:rsidRPr="00B7177A" w:rsidRDefault="00BC1DE0" w:rsidP="00BC1DE0">
            <w:pPr>
              <w:rPr>
                <w:b/>
              </w:rPr>
            </w:pPr>
          </w:p>
          <w:p w:rsidR="00F70DBD" w:rsidRPr="00F70DBD" w:rsidRDefault="00F70DBD" w:rsidP="00F70DBD">
            <w:pPr>
              <w:contextualSpacing/>
              <w:rPr>
                <w:b/>
              </w:rPr>
            </w:pPr>
            <w:r w:rsidRPr="00F70DBD">
              <w:rPr>
                <w:b/>
              </w:rPr>
              <w:t>Recommendations:</w:t>
            </w:r>
          </w:p>
          <w:p w:rsidR="00F70DBD" w:rsidRDefault="00F70DBD" w:rsidP="00F70DBD">
            <w:pPr>
              <w:contextualSpacing/>
            </w:pPr>
          </w:p>
          <w:p w:rsidR="00F70DBD" w:rsidRPr="00B64B2C" w:rsidRDefault="00F70DBD" w:rsidP="00F70DBD">
            <w:pPr>
              <w:contextualSpacing/>
            </w:pPr>
            <w:r w:rsidRPr="00B64B2C">
              <w:t xml:space="preserve">That the </w:t>
            </w:r>
            <w:r w:rsidR="00331EBE">
              <w:t>RPB</w:t>
            </w:r>
            <w:r w:rsidRPr="00B64B2C">
              <w:t>:</w:t>
            </w:r>
          </w:p>
          <w:p w:rsidR="00F70DBD" w:rsidRPr="00B64B2C" w:rsidRDefault="00F70DBD" w:rsidP="00F70DBD">
            <w:pPr>
              <w:contextualSpacing/>
            </w:pPr>
          </w:p>
          <w:p w:rsidR="00B64B2C" w:rsidRPr="006C4AC3" w:rsidRDefault="006C4AC3" w:rsidP="00C27993">
            <w:pPr>
              <w:pStyle w:val="ListParagraph"/>
              <w:numPr>
                <w:ilvl w:val="0"/>
                <w:numId w:val="8"/>
              </w:numPr>
            </w:pPr>
            <w:r w:rsidRPr="006C4AC3">
              <w:t>Notes progress to date in relation to each priority</w:t>
            </w:r>
          </w:p>
          <w:p w:rsidR="006C4AC3" w:rsidRPr="006C4AC3" w:rsidRDefault="006C4AC3" w:rsidP="00C27993">
            <w:pPr>
              <w:pStyle w:val="ListParagraph"/>
              <w:numPr>
                <w:ilvl w:val="0"/>
                <w:numId w:val="8"/>
              </w:numPr>
            </w:pPr>
            <w:r w:rsidRPr="006C4AC3">
              <w:t xml:space="preserve">Notes and ratifies the Project Initiation Document (PID) for the Learning Disability Service Redesign programme (see Appendix 2) </w:t>
            </w:r>
          </w:p>
          <w:p w:rsidR="006C4AC3" w:rsidRDefault="006C4AC3" w:rsidP="006C4AC3">
            <w:pPr>
              <w:pStyle w:val="ListParagraph"/>
              <w:ind w:left="360"/>
              <w:rPr>
                <w:b/>
              </w:rPr>
            </w:pPr>
          </w:p>
        </w:tc>
      </w:tr>
    </w:tbl>
    <w:p w:rsidR="00F70DBD" w:rsidRDefault="00F70DBD" w:rsidP="006C1763">
      <w:pPr>
        <w:rPr>
          <w:b/>
        </w:rPr>
      </w:pPr>
    </w:p>
    <w:p w:rsidR="004A56AB" w:rsidRDefault="004A56AB">
      <w:pPr>
        <w:rPr>
          <w:b/>
        </w:rPr>
      </w:pPr>
      <w:r>
        <w:rPr>
          <w:b/>
        </w:rPr>
        <w:br w:type="page"/>
      </w:r>
    </w:p>
    <w:p w:rsidR="006C1763" w:rsidRPr="00644316" w:rsidRDefault="006C1763" w:rsidP="006C1763">
      <w:pPr>
        <w:rPr>
          <w:b/>
        </w:rPr>
      </w:pPr>
      <w:r w:rsidRPr="00B10087">
        <w:rPr>
          <w:b/>
        </w:rPr>
        <w:lastRenderedPageBreak/>
        <w:t>Purpose</w:t>
      </w:r>
    </w:p>
    <w:p w:rsidR="006C1763" w:rsidRDefault="00367B14" w:rsidP="006C1763">
      <w:pPr>
        <w:pStyle w:val="ListParagraph"/>
        <w:numPr>
          <w:ilvl w:val="0"/>
          <w:numId w:val="1"/>
        </w:numPr>
        <w:ind w:left="360"/>
      </w:pPr>
      <w:r>
        <w:t xml:space="preserve">To </w:t>
      </w:r>
      <w:r w:rsidR="00C27993">
        <w:t>update</w:t>
      </w:r>
      <w:r w:rsidR="00396DE0">
        <w:t xml:space="preserve"> the </w:t>
      </w:r>
      <w:r w:rsidR="00331EBE">
        <w:t>RPB</w:t>
      </w:r>
      <w:r w:rsidR="00396DE0">
        <w:t xml:space="preserve"> of </w:t>
      </w:r>
      <w:r w:rsidR="00C27993">
        <w:t>progress in delivering against its strategic priorities</w:t>
      </w:r>
      <w:r w:rsidR="00396DE0">
        <w:t>.</w:t>
      </w:r>
    </w:p>
    <w:p w:rsidR="006C1763" w:rsidRDefault="006C1763" w:rsidP="006C1763">
      <w:pPr>
        <w:pStyle w:val="ListParagraph"/>
        <w:ind w:left="0"/>
      </w:pPr>
    </w:p>
    <w:p w:rsidR="006C1763" w:rsidRDefault="006C1763" w:rsidP="006C1763">
      <w:pPr>
        <w:rPr>
          <w:b/>
        </w:rPr>
      </w:pPr>
      <w:r w:rsidRPr="009D1A2E">
        <w:rPr>
          <w:b/>
        </w:rPr>
        <w:t>Background</w:t>
      </w:r>
    </w:p>
    <w:p w:rsidR="00451839" w:rsidRDefault="00C27993" w:rsidP="004A43C4">
      <w:pPr>
        <w:pStyle w:val="ListParagraph"/>
        <w:numPr>
          <w:ilvl w:val="0"/>
          <w:numId w:val="8"/>
        </w:numPr>
      </w:pPr>
      <w:r>
        <w:t>On 15 December 2016 the RPB adopted five strategic priorities, reflecting its statutory respons</w:t>
      </w:r>
      <w:r w:rsidR="00573997">
        <w:t xml:space="preserve">ibilities and local imperatives. It </w:t>
      </w:r>
      <w:r>
        <w:t>identified pace setter agencies which would lead delivery on behalf of the partnership. Details are provided below:</w:t>
      </w:r>
    </w:p>
    <w:p w:rsidR="00451839" w:rsidRDefault="00451839" w:rsidP="00451839">
      <w:pPr>
        <w:pStyle w:val="ListParagraph"/>
      </w:pPr>
    </w:p>
    <w:p w:rsidR="00F80352" w:rsidRDefault="00F80352" w:rsidP="004A43C4">
      <w:pPr>
        <w:pStyle w:val="ListParagraph"/>
        <w:numPr>
          <w:ilvl w:val="0"/>
          <w:numId w:val="34"/>
        </w:numPr>
      </w:pPr>
      <w:r>
        <w:t>Integrated commissioning</w:t>
      </w:r>
      <w:r w:rsidR="006B3C99">
        <w:t xml:space="preserve"> (Pace setter - Pembrokeshire CC)</w:t>
      </w:r>
    </w:p>
    <w:p w:rsidR="00F80352" w:rsidRDefault="00F80352" w:rsidP="004A43C4">
      <w:pPr>
        <w:pStyle w:val="ListParagraph"/>
        <w:numPr>
          <w:ilvl w:val="0"/>
          <w:numId w:val="34"/>
        </w:numPr>
      </w:pPr>
      <w:r>
        <w:t>Pooled funds</w:t>
      </w:r>
      <w:r w:rsidR="006B3C99">
        <w:t xml:space="preserve"> (Carmarthenshire CC)</w:t>
      </w:r>
    </w:p>
    <w:p w:rsidR="00F80352" w:rsidRDefault="00F80352" w:rsidP="004A43C4">
      <w:pPr>
        <w:pStyle w:val="ListParagraph"/>
        <w:numPr>
          <w:ilvl w:val="0"/>
          <w:numId w:val="34"/>
        </w:numPr>
      </w:pPr>
      <w:r>
        <w:t>Information, Assistance and Advice</w:t>
      </w:r>
      <w:r w:rsidR="008011ED">
        <w:t xml:space="preserve"> (IAA)</w:t>
      </w:r>
      <w:r>
        <w:t>/ prevention</w:t>
      </w:r>
      <w:r w:rsidR="006B3C99">
        <w:t xml:space="preserve"> (</w:t>
      </w:r>
      <w:r w:rsidR="00705FA4">
        <w:t xml:space="preserve">Pace setter - </w:t>
      </w:r>
      <w:r w:rsidR="006B3C99">
        <w:t>Pembrokeshire CC)</w:t>
      </w:r>
    </w:p>
    <w:p w:rsidR="00F80352" w:rsidRDefault="00F80352" w:rsidP="004A43C4">
      <w:pPr>
        <w:pStyle w:val="ListParagraph"/>
        <w:numPr>
          <w:ilvl w:val="0"/>
          <w:numId w:val="34"/>
        </w:numPr>
      </w:pPr>
      <w:r>
        <w:t>Implementation of the Welsh Community Care Information System (WCCIS)</w:t>
      </w:r>
      <w:r w:rsidR="006B3C99">
        <w:t xml:space="preserve"> (</w:t>
      </w:r>
      <w:r w:rsidR="00705FA4">
        <w:t xml:space="preserve">Pace setter - </w:t>
      </w:r>
      <w:r w:rsidR="006B3C99">
        <w:t>Ceredigion CC)</w:t>
      </w:r>
    </w:p>
    <w:p w:rsidR="00F80352" w:rsidRDefault="00F80352" w:rsidP="004A43C4">
      <w:pPr>
        <w:pStyle w:val="ListParagraph"/>
        <w:numPr>
          <w:ilvl w:val="0"/>
          <w:numId w:val="34"/>
        </w:numPr>
      </w:pPr>
      <w:r>
        <w:t>Transformation of learning disability and mental health services</w:t>
      </w:r>
      <w:r w:rsidR="006B3C99">
        <w:t xml:space="preserve"> (Pace setter</w:t>
      </w:r>
      <w:r w:rsidR="00705FA4">
        <w:t xml:space="preserve"> - </w:t>
      </w:r>
      <w:r w:rsidR="006B3C99">
        <w:t xml:space="preserve"> </w:t>
      </w:r>
      <w:r w:rsidR="00ED7480">
        <w:t>Hywel Dda UHB</w:t>
      </w:r>
      <w:r w:rsidR="006B3C99">
        <w:t>)</w:t>
      </w:r>
    </w:p>
    <w:p w:rsidR="006C4AC3" w:rsidRDefault="006C4AC3" w:rsidP="006C4AC3">
      <w:pPr>
        <w:pStyle w:val="ListParagraph"/>
        <w:ind w:left="360"/>
      </w:pPr>
    </w:p>
    <w:p w:rsidR="00ED7480" w:rsidRDefault="00814952" w:rsidP="004A43C4">
      <w:pPr>
        <w:pStyle w:val="ListParagraph"/>
        <w:numPr>
          <w:ilvl w:val="0"/>
          <w:numId w:val="8"/>
        </w:numPr>
      </w:pPr>
      <w:r>
        <w:t>Regional governance is either in place or will be established shortly to oversee programme development and delivery in each area, with overall scrutiny provided by the Integrated Programme Delivery Board</w:t>
      </w:r>
      <w:r w:rsidR="00C27993">
        <w:t xml:space="preserve">. </w:t>
      </w:r>
      <w:r w:rsidR="00ED7480">
        <w:t>The Integrated Care Fund (ICF) is providing programme capacity for each priority area.</w:t>
      </w:r>
    </w:p>
    <w:p w:rsidR="00C27993" w:rsidRDefault="00C27993" w:rsidP="004A43C4"/>
    <w:p w:rsidR="00C27993" w:rsidRDefault="00B24B6D" w:rsidP="002D7E4F">
      <w:pPr>
        <w:ind w:left="360"/>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1628140</wp:posOffset>
                </wp:positionV>
                <wp:extent cx="4955540" cy="43878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5540" cy="438785"/>
                        </a:xfrm>
                        <a:prstGeom prst="rect">
                          <a:avLst/>
                        </a:prstGeom>
                        <a:solidFill>
                          <a:srgbClr val="C00000">
                            <a:alpha val="10000"/>
                          </a:srgbClr>
                        </a:solidFill>
                        <a:ln>
                          <a:noFill/>
                        </a:ln>
                      </wps:spPr>
                      <wps:style>
                        <a:lnRef idx="2">
                          <a:schemeClr val="accent6"/>
                        </a:lnRef>
                        <a:fillRef idx="1">
                          <a:schemeClr val="lt1"/>
                        </a:fillRef>
                        <a:effectRef idx="0">
                          <a:schemeClr val="accent6"/>
                        </a:effectRef>
                        <a:fontRef idx="minor">
                          <a:schemeClr val="dk1"/>
                        </a:fontRef>
                      </wps:style>
                      <wps:txbx>
                        <w:txbxContent>
                          <w:p w:rsidR="002D7E4F" w:rsidRPr="002D7E4F" w:rsidRDefault="002D7E4F" w:rsidP="002D7E4F">
                            <w:pPr>
                              <w:jc w:val="center"/>
                            </w:pPr>
                            <w:r w:rsidRPr="002D7E4F">
                              <w:t>Delivery Groups</w:t>
                            </w:r>
                            <w:r>
                              <w:t>/ Boards</w:t>
                            </w:r>
                            <w:r w:rsidRPr="002D7E4F">
                              <w:t xml:space="preserve"> for identified priorities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8" o:spid="_x0000_s1026" style="position:absolute;left:0;text-align:left;margin-left:37.5pt;margin-top:128.2pt;width:390.2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" fillcolor="#c00000" stroked="f" strokeweight="2pt">
                <v:fill opacity="6682f"/>
                <v:path arrowok="t"/>
                <v:textbox>
                  <w:txbxContent>
                    <w:p w:rsidR="002D7E4F" w:rsidRPr="002D7E4F" w:rsidRDefault="002D7E4F" w:rsidP="002D7E4F">
                      <w:pPr>
                        <w:jc w:val="center"/>
                      </w:pPr>
                      <w:r w:rsidRPr="002D7E4F">
                        <w:t>Delivery Groups</w:t>
                      </w:r>
                      <w:r>
                        <w:t>/ Boards</w:t>
                      </w:r>
                      <w:r w:rsidRPr="002D7E4F">
                        <w:t xml:space="preserve"> for identified priorities </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1870710</wp:posOffset>
                </wp:positionH>
                <wp:positionV relativeFrom="paragraph">
                  <wp:posOffset>1447165</wp:posOffset>
                </wp:positionV>
                <wp:extent cx="274320" cy="137160"/>
                <wp:effectExtent l="38100" t="19050" r="11430" b="15240"/>
                <wp:wrapNone/>
                <wp:docPr id="39" name="Up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37160"/>
                        </a:xfrm>
                        <a:prstGeom prst="upArrow">
                          <a:avLst/>
                        </a:prstGeom>
                        <a:ln>
                          <a:solidFill>
                            <a:srgbClr val="CD1D5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304F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9" o:spid="_x0000_s1026" type="#_x0000_t68" style="position:absolute;margin-left:147.3pt;margin-top:113.95pt;width:21.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" adj="10800" fillcolor="white [3201]" strokecolor="#cd1d5e" strokeweight="2pt">
                <v:path arrowok="t"/>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2913380</wp:posOffset>
                </wp:positionH>
                <wp:positionV relativeFrom="paragraph">
                  <wp:posOffset>1447800</wp:posOffset>
                </wp:positionV>
                <wp:extent cx="274320" cy="137160"/>
                <wp:effectExtent l="38100" t="19050" r="11430" b="15240"/>
                <wp:wrapNone/>
                <wp:docPr id="40" name="Up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37160"/>
                        </a:xfrm>
                        <a:prstGeom prst="upArrow">
                          <a:avLst/>
                        </a:prstGeom>
                        <a:ln>
                          <a:solidFill>
                            <a:srgbClr val="CD1D5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B34328" id="Up Arrow 40" o:spid="_x0000_s1026" type="#_x0000_t68" style="position:absolute;margin-left:229.4pt;margin-top:114pt;width:21.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" adj="10800" fillcolor="white [3201]" strokecolor="#cd1d5e" strokeweight="2pt">
                <v:path arrowok="t"/>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3964940</wp:posOffset>
                </wp:positionH>
                <wp:positionV relativeFrom="paragraph">
                  <wp:posOffset>1451610</wp:posOffset>
                </wp:positionV>
                <wp:extent cx="274320" cy="137160"/>
                <wp:effectExtent l="38100" t="19050" r="11430" b="15240"/>
                <wp:wrapNone/>
                <wp:docPr id="42" name="Up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37160"/>
                        </a:xfrm>
                        <a:prstGeom prst="upArrow">
                          <a:avLst/>
                        </a:prstGeom>
                        <a:ln>
                          <a:solidFill>
                            <a:srgbClr val="CD1D5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D723B6" id="Up Arrow 42" o:spid="_x0000_s1026" type="#_x0000_t68" style="position:absolute;margin-left:312.2pt;margin-top:114.3pt;width:21.6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" adj="10800" fillcolor="white [3201]" strokecolor="#cd1d5e" strokeweight="2pt">
                <v:path arrowok="t"/>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476885</wp:posOffset>
                </wp:positionH>
                <wp:positionV relativeFrom="paragraph">
                  <wp:posOffset>268605</wp:posOffset>
                </wp:positionV>
                <wp:extent cx="4955540" cy="43878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5540" cy="438785"/>
                        </a:xfrm>
                        <a:prstGeom prst="rect">
                          <a:avLst/>
                        </a:prstGeom>
                        <a:solidFill>
                          <a:srgbClr val="C00000">
                            <a:alpha val="10000"/>
                          </a:srgbClr>
                        </a:solidFill>
                        <a:ln>
                          <a:noFill/>
                        </a:ln>
                      </wps:spPr>
                      <wps:style>
                        <a:lnRef idx="2">
                          <a:schemeClr val="accent6"/>
                        </a:lnRef>
                        <a:fillRef idx="1">
                          <a:schemeClr val="lt1"/>
                        </a:fillRef>
                        <a:effectRef idx="0">
                          <a:schemeClr val="accent6"/>
                        </a:effectRef>
                        <a:fontRef idx="minor">
                          <a:schemeClr val="dk1"/>
                        </a:fontRef>
                      </wps:style>
                      <wps:txbx>
                        <w:txbxContent>
                          <w:p w:rsidR="002D7E4F" w:rsidRPr="009721E0" w:rsidRDefault="002D7E4F" w:rsidP="002D7E4F">
                            <w:pPr>
                              <w:jc w:val="center"/>
                            </w:pPr>
                            <w:r w:rsidRPr="009721E0">
                              <w:t>West Wales Regional Partnership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6" o:spid="_x0000_s1027" style="position:absolute;left:0;text-align:left;margin-left:37.55pt;margin-top:21.15pt;width:390.2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" fillcolor="#c00000" stroked="f" strokeweight="2pt">
                <v:fill opacity="6682f"/>
                <v:path arrowok="t"/>
                <v:textbox>
                  <w:txbxContent>
                    <w:p w:rsidR="002D7E4F" w:rsidRPr="009721E0" w:rsidRDefault="002D7E4F" w:rsidP="002D7E4F">
                      <w:pPr>
                        <w:jc w:val="center"/>
                      </w:pPr>
                      <w:r w:rsidRPr="009721E0">
                        <w:t>West Wales Regional Partnership Board</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476885</wp:posOffset>
                </wp:positionH>
                <wp:positionV relativeFrom="paragraph">
                  <wp:posOffset>929005</wp:posOffset>
                </wp:positionV>
                <wp:extent cx="4955540" cy="43878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5540" cy="438785"/>
                        </a:xfrm>
                        <a:prstGeom prst="rect">
                          <a:avLst/>
                        </a:prstGeom>
                        <a:solidFill>
                          <a:srgbClr val="C00000">
                            <a:alpha val="10000"/>
                          </a:srgbClr>
                        </a:solidFill>
                        <a:ln>
                          <a:noFill/>
                        </a:ln>
                      </wps:spPr>
                      <wps:style>
                        <a:lnRef idx="2">
                          <a:schemeClr val="accent6"/>
                        </a:lnRef>
                        <a:fillRef idx="1">
                          <a:schemeClr val="lt1"/>
                        </a:fillRef>
                        <a:effectRef idx="0">
                          <a:schemeClr val="accent6"/>
                        </a:effectRef>
                        <a:fontRef idx="minor">
                          <a:schemeClr val="dk1"/>
                        </a:fontRef>
                      </wps:style>
                      <wps:txbx>
                        <w:txbxContent>
                          <w:p w:rsidR="002D7E4F" w:rsidRPr="009721E0" w:rsidRDefault="002D7E4F" w:rsidP="002D7E4F">
                            <w:pPr>
                              <w:jc w:val="center"/>
                              <w:rPr>
                                <w:sz w:val="22"/>
                                <w:szCs w:val="22"/>
                              </w:rPr>
                            </w:pPr>
                            <w:r w:rsidRPr="009721E0">
                              <w:rPr>
                                <w:sz w:val="22"/>
                                <w:szCs w:val="22"/>
                              </w:rPr>
                              <w:t>Regional Integrated Programme Delivery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7" o:spid="_x0000_s1028" style="position:absolute;left:0;text-align:left;margin-left:37.55pt;margin-top:73.15pt;width:390.2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" fillcolor="#c00000" stroked="f" strokeweight="2pt">
                <v:fill opacity="6682f"/>
                <v:path arrowok="t"/>
                <v:textbox>
                  <w:txbxContent>
                    <w:p w:rsidR="002D7E4F" w:rsidRPr="009721E0" w:rsidRDefault="002D7E4F" w:rsidP="002D7E4F">
                      <w:pPr>
                        <w:jc w:val="center"/>
                        <w:rPr>
                          <w:sz w:val="22"/>
                          <w:szCs w:val="22"/>
                        </w:rPr>
                      </w:pPr>
                      <w:r w:rsidRPr="009721E0">
                        <w:rPr>
                          <w:sz w:val="22"/>
                          <w:szCs w:val="22"/>
                        </w:rPr>
                        <w:t>Regional Integrated Programme Delivery Board</w:t>
                      </w:r>
                    </w:p>
                  </w:txbxContent>
                </v:textbox>
              </v:rect>
            </w:pict>
          </mc:Fallback>
        </mc:AlternateContent>
      </w:r>
      <w:r w:rsidR="002D7E4F">
        <w:t>Figure 1: Regional governance summary</w:t>
      </w:r>
    </w:p>
    <w:p w:rsidR="00331EBE" w:rsidRDefault="00331EBE" w:rsidP="004A43C4">
      <w:pPr>
        <w:pStyle w:val="ListParagraph"/>
        <w:ind w:left="786"/>
      </w:pPr>
    </w:p>
    <w:p w:rsidR="002D7E4F" w:rsidRDefault="00B24B6D" w:rsidP="002D7E4F">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2861310</wp:posOffset>
                </wp:positionH>
                <wp:positionV relativeFrom="paragraph">
                  <wp:posOffset>216535</wp:posOffset>
                </wp:positionV>
                <wp:extent cx="274320" cy="161925"/>
                <wp:effectExtent l="38100" t="19050" r="11430" b="28575"/>
                <wp:wrapNone/>
                <wp:docPr id="43" name="Up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61925"/>
                        </a:xfrm>
                        <a:prstGeom prst="upArrow">
                          <a:avLst/>
                        </a:prstGeom>
                        <a:ln>
                          <a:solidFill>
                            <a:srgbClr val="CD1D5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45D526" id="Up Arrow 43" o:spid="_x0000_s1026" type="#_x0000_t68" style="position:absolute;margin-left:225.3pt;margin-top:17.05pt;width:21.6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" adj="10800" fillcolor="white [3201]" strokecolor="#cd1d5e" strokeweight="2pt">
                <v:path arrowok="t"/>
              </v:shape>
            </w:pict>
          </mc:Fallback>
        </mc:AlternateContent>
      </w:r>
    </w:p>
    <w:p w:rsidR="002D7E4F" w:rsidRDefault="002D7E4F" w:rsidP="002D7E4F"/>
    <w:p w:rsidR="002D7E4F" w:rsidRDefault="002D7E4F" w:rsidP="002D7E4F"/>
    <w:p w:rsidR="002D7E4F" w:rsidRDefault="002D7E4F" w:rsidP="002D7E4F"/>
    <w:p w:rsidR="002D7E4F" w:rsidRDefault="002D7E4F" w:rsidP="002D7E4F"/>
    <w:p w:rsidR="002D7E4F" w:rsidRDefault="002D7E4F" w:rsidP="002D7E4F">
      <w:pPr>
        <w:pStyle w:val="ListParagraph"/>
        <w:ind w:left="360"/>
      </w:pPr>
    </w:p>
    <w:p w:rsidR="00ED7480" w:rsidRDefault="00ED7480" w:rsidP="004A43C4">
      <w:pPr>
        <w:pStyle w:val="ListParagraph"/>
        <w:numPr>
          <w:ilvl w:val="0"/>
          <w:numId w:val="8"/>
        </w:numPr>
      </w:pPr>
      <w:r>
        <w:t>Summary updates on each area are provided below.</w:t>
      </w:r>
    </w:p>
    <w:p w:rsidR="00ED7480" w:rsidRDefault="00ED7480" w:rsidP="004A43C4">
      <w:pPr>
        <w:pStyle w:val="ListParagraph"/>
        <w:ind w:left="786"/>
      </w:pPr>
    </w:p>
    <w:p w:rsidR="00705FA4" w:rsidRPr="004A43C4" w:rsidRDefault="000C404A" w:rsidP="004A43C4">
      <w:pPr>
        <w:rPr>
          <w:b/>
        </w:rPr>
      </w:pPr>
      <w:r>
        <w:rPr>
          <w:b/>
        </w:rPr>
        <w:t>Summary u</w:t>
      </w:r>
      <w:r w:rsidR="00814952" w:rsidRPr="004A43C4">
        <w:rPr>
          <w:b/>
        </w:rPr>
        <w:t>pdate</w:t>
      </w:r>
      <w:r w:rsidR="004A43C4" w:rsidRPr="004A43C4">
        <w:rPr>
          <w:b/>
        </w:rPr>
        <w:t>s</w:t>
      </w:r>
    </w:p>
    <w:p w:rsidR="00A94757" w:rsidRPr="004A43C4" w:rsidRDefault="00814952" w:rsidP="004A43C4">
      <w:pPr>
        <w:rPr>
          <w:i/>
        </w:rPr>
      </w:pPr>
      <w:r w:rsidRPr="004A43C4">
        <w:rPr>
          <w:i/>
        </w:rPr>
        <w:t>Integrated commissioning</w:t>
      </w:r>
    </w:p>
    <w:p w:rsidR="00A60FD4" w:rsidRDefault="00A60FD4" w:rsidP="004A43C4">
      <w:pPr>
        <w:pStyle w:val="ListParagraph"/>
        <w:numPr>
          <w:ilvl w:val="0"/>
          <w:numId w:val="8"/>
        </w:numPr>
      </w:pPr>
      <w:r w:rsidRPr="00A60FD4">
        <w:t>An outline programme has bee</w:t>
      </w:r>
      <w:r w:rsidR="004A43C4">
        <w:t>n developed which will focus on</w:t>
      </w:r>
      <w:r w:rsidR="006C4AC3">
        <w:t>:</w:t>
      </w:r>
    </w:p>
    <w:p w:rsidR="004A43C4" w:rsidRPr="00A60FD4" w:rsidRDefault="004A43C4" w:rsidP="004A43C4">
      <w:pPr>
        <w:pStyle w:val="ListParagraph"/>
        <w:ind w:left="360"/>
      </w:pPr>
    </w:p>
    <w:p w:rsidR="00A60FD4" w:rsidRPr="009721E0" w:rsidRDefault="00A60FD4" w:rsidP="004A43C4">
      <w:pPr>
        <w:pStyle w:val="ListParagraph"/>
        <w:numPr>
          <w:ilvl w:val="0"/>
          <w:numId w:val="35"/>
        </w:numPr>
        <w:ind w:right="-613"/>
      </w:pPr>
      <w:r w:rsidRPr="009721E0">
        <w:t>Developing or reviewing regional statements of intent for key services</w:t>
      </w:r>
    </w:p>
    <w:p w:rsidR="00A60FD4" w:rsidRPr="009721E0" w:rsidRDefault="00A60FD4" w:rsidP="004A43C4">
      <w:pPr>
        <w:pStyle w:val="ListParagraph"/>
        <w:numPr>
          <w:ilvl w:val="0"/>
          <w:numId w:val="35"/>
        </w:numPr>
        <w:ind w:right="-613"/>
      </w:pPr>
      <w:r w:rsidRPr="009721E0">
        <w:t>Developing regional area plan in response to the population assessment</w:t>
      </w:r>
    </w:p>
    <w:p w:rsidR="00A60FD4" w:rsidRPr="009721E0" w:rsidRDefault="00A60FD4" w:rsidP="004A43C4">
      <w:pPr>
        <w:pStyle w:val="ListParagraph"/>
        <w:numPr>
          <w:ilvl w:val="0"/>
          <w:numId w:val="35"/>
        </w:numPr>
        <w:ind w:right="-613"/>
      </w:pPr>
      <w:r w:rsidRPr="009721E0">
        <w:t>Producing further regional market position statements</w:t>
      </w:r>
    </w:p>
    <w:p w:rsidR="00A60FD4" w:rsidRPr="009721E0" w:rsidRDefault="00A60FD4" w:rsidP="004A43C4">
      <w:pPr>
        <w:pStyle w:val="ListParagraph"/>
        <w:numPr>
          <w:ilvl w:val="0"/>
          <w:numId w:val="35"/>
        </w:numPr>
        <w:ind w:right="-613"/>
      </w:pPr>
      <w:r w:rsidRPr="009721E0">
        <w:t>Moving towards regional service contracts</w:t>
      </w:r>
    </w:p>
    <w:p w:rsidR="00A60FD4" w:rsidRPr="009721E0" w:rsidRDefault="00A60FD4" w:rsidP="004A43C4">
      <w:pPr>
        <w:pStyle w:val="ListParagraph"/>
        <w:numPr>
          <w:ilvl w:val="0"/>
          <w:numId w:val="35"/>
        </w:numPr>
        <w:ind w:right="-613"/>
      </w:pPr>
      <w:r w:rsidRPr="009721E0">
        <w:t>Developing regional care standards and quality assurance frameworks, including escalating concerns</w:t>
      </w:r>
    </w:p>
    <w:p w:rsidR="00A60FD4" w:rsidRDefault="00A60FD4" w:rsidP="004A43C4">
      <w:pPr>
        <w:pStyle w:val="ListParagraph"/>
        <w:numPr>
          <w:ilvl w:val="0"/>
          <w:numId w:val="35"/>
        </w:numPr>
        <w:ind w:right="-613"/>
      </w:pPr>
      <w:r w:rsidRPr="009721E0">
        <w:t>Developing a regional approach to ‘growing’ social enterprise, cooperatives, user-led and third sector services</w:t>
      </w:r>
    </w:p>
    <w:p w:rsidR="00ED7480" w:rsidRPr="00C1256F" w:rsidRDefault="00ED7480" w:rsidP="004A43C4">
      <w:pPr>
        <w:pStyle w:val="ListParagraph"/>
        <w:numPr>
          <w:ilvl w:val="0"/>
          <w:numId w:val="35"/>
        </w:numPr>
        <w:ind w:right="-613"/>
      </w:pPr>
      <w:r w:rsidRPr="00C1256F">
        <w:t xml:space="preserve">Mapping demand </w:t>
      </w:r>
      <w:r w:rsidR="006F1B93">
        <w:t xml:space="preserve">and patient flows </w:t>
      </w:r>
      <w:r w:rsidR="00C1256F" w:rsidRPr="00C1256F">
        <w:t>through the health and social care system in the region, starting in Carmarthenshire, to identify pressure points and inform service remodelling to improve efficiency and outcomes</w:t>
      </w:r>
      <w:r w:rsidRPr="00C1256F">
        <w:t xml:space="preserve"> </w:t>
      </w:r>
    </w:p>
    <w:p w:rsidR="00A60FD4" w:rsidRPr="009721E0" w:rsidRDefault="00A60FD4" w:rsidP="004A43C4">
      <w:pPr>
        <w:pStyle w:val="ListParagraph"/>
        <w:numPr>
          <w:ilvl w:val="0"/>
          <w:numId w:val="35"/>
        </w:numPr>
        <w:ind w:right="-613"/>
      </w:pPr>
      <w:r w:rsidRPr="009721E0">
        <w:t>Establishing a strategic provider forum for the region to support an ongoing conversation with providers about future service models and how these might be implemented</w:t>
      </w:r>
    </w:p>
    <w:p w:rsidR="00A60FD4" w:rsidRDefault="00A60FD4" w:rsidP="004A43C4">
      <w:pPr>
        <w:pStyle w:val="ListParagraph"/>
        <w:numPr>
          <w:ilvl w:val="0"/>
          <w:numId w:val="35"/>
        </w:numPr>
        <w:ind w:right="-613"/>
      </w:pPr>
      <w:r w:rsidRPr="009721E0">
        <w:t>Building skills through regional training and development programmes</w:t>
      </w:r>
      <w:r>
        <w:t>, where appropriate using resources available through the Social Care Workforce Development Programme (SCWDP).</w:t>
      </w:r>
    </w:p>
    <w:p w:rsidR="004A43C4" w:rsidRPr="009721E0" w:rsidRDefault="004A43C4" w:rsidP="004A43C4">
      <w:pPr>
        <w:pStyle w:val="ListParagraph"/>
        <w:ind w:right="-613"/>
      </w:pPr>
    </w:p>
    <w:p w:rsidR="00ED7480" w:rsidRDefault="004A43C4" w:rsidP="004A43C4">
      <w:pPr>
        <w:pStyle w:val="ListParagraph"/>
        <w:numPr>
          <w:ilvl w:val="0"/>
          <w:numId w:val="8"/>
        </w:numPr>
        <w:autoSpaceDE w:val="0"/>
        <w:autoSpaceDN w:val="0"/>
        <w:adjustRightInd w:val="0"/>
        <w:rPr>
          <w:lang w:eastAsia="en-GB"/>
        </w:rPr>
      </w:pPr>
      <w:r>
        <w:t xml:space="preserve">Foundational work undertaken in Pembrokeshire in relation to common service contracts and associated processes will inform the regional programme. </w:t>
      </w:r>
      <w:r w:rsidR="00ED7480">
        <w:t>Recruitment is underway to a combined programme manager post to oversee this and the IAA workstream.</w:t>
      </w:r>
    </w:p>
    <w:p w:rsidR="004A43C4" w:rsidRDefault="004A43C4" w:rsidP="004A43C4">
      <w:pPr>
        <w:pStyle w:val="ListParagraph"/>
        <w:autoSpaceDE w:val="0"/>
        <w:autoSpaceDN w:val="0"/>
        <w:adjustRightInd w:val="0"/>
        <w:ind w:left="360"/>
        <w:rPr>
          <w:lang w:eastAsia="en-GB"/>
        </w:rPr>
      </w:pPr>
    </w:p>
    <w:p w:rsidR="004A43C4" w:rsidRPr="004A43C4" w:rsidRDefault="004A43C4" w:rsidP="004A43C4">
      <w:pPr>
        <w:rPr>
          <w:i/>
        </w:rPr>
      </w:pPr>
      <w:r w:rsidRPr="004A43C4">
        <w:rPr>
          <w:i/>
        </w:rPr>
        <w:t>Service integration and pooled funds</w:t>
      </w:r>
    </w:p>
    <w:p w:rsidR="004A43C4" w:rsidRDefault="004A43C4" w:rsidP="004A43C4">
      <w:pPr>
        <w:pStyle w:val="ListParagraph"/>
        <w:numPr>
          <w:ilvl w:val="0"/>
          <w:numId w:val="8"/>
        </w:numPr>
      </w:pPr>
      <w:r w:rsidRPr="00B14F00">
        <w:t xml:space="preserve">A regional programme manager has been appointed to lead on the development and delivery of this workstream, commencing in post in </w:t>
      </w:r>
      <w:r>
        <w:t xml:space="preserve">mid-April. A regional programme board established to oversee the work has agreed three broad components: (1) integration of older adults’ services and establishment of supporting pooled funds in Carmarthenshire; (2) establishment of pooled funds for care home functions; and </w:t>
      </w:r>
      <w:r w:rsidR="00301B17">
        <w:t xml:space="preserve">(3) </w:t>
      </w:r>
      <w:r>
        <w:t>identification and progression of further opportunities for integration and pooled funds across service areas where this is considered to be of benefit in terms of efficiency, effectiveness and outcomes.</w:t>
      </w:r>
    </w:p>
    <w:p w:rsidR="004A43C4" w:rsidRDefault="004A43C4" w:rsidP="004A43C4">
      <w:pPr>
        <w:pStyle w:val="ListParagraph"/>
        <w:ind w:left="360"/>
      </w:pPr>
    </w:p>
    <w:p w:rsidR="004A43C4" w:rsidRDefault="004A43C4" w:rsidP="004A43C4">
      <w:pPr>
        <w:pStyle w:val="ListParagraph"/>
        <w:numPr>
          <w:ilvl w:val="0"/>
          <w:numId w:val="8"/>
        </w:numPr>
      </w:pPr>
      <w:r>
        <w:t xml:space="preserve">Given the statutory deadline of April 2018, the establishment of pooled funds for care homes is a </w:t>
      </w:r>
      <w:r w:rsidR="00301B17">
        <w:t xml:space="preserve">clear </w:t>
      </w:r>
      <w:r>
        <w:t xml:space="preserve">priority. Broad parameters for taking this </w:t>
      </w:r>
      <w:r w:rsidR="00301B17">
        <w:t xml:space="preserve">element of the </w:t>
      </w:r>
      <w:r>
        <w:t xml:space="preserve">work forward have been agreed by </w:t>
      </w:r>
      <w:r w:rsidR="00301B17">
        <w:t xml:space="preserve">the programme board. The </w:t>
      </w:r>
      <w:r>
        <w:t xml:space="preserve">focus will be on care homes for the elderly (residential and nursing), spanning </w:t>
      </w:r>
      <w:r w:rsidR="00301B17">
        <w:t xml:space="preserve">both </w:t>
      </w:r>
      <w:r>
        <w:t xml:space="preserve">internal and commissioned services. </w:t>
      </w:r>
    </w:p>
    <w:p w:rsidR="004A43C4" w:rsidRDefault="004A43C4" w:rsidP="004A43C4">
      <w:pPr>
        <w:pStyle w:val="ListParagraph"/>
      </w:pPr>
    </w:p>
    <w:p w:rsidR="004A43C4" w:rsidRDefault="004A43C4" w:rsidP="004A43C4">
      <w:pPr>
        <w:pStyle w:val="ListParagraph"/>
        <w:numPr>
          <w:ilvl w:val="0"/>
          <w:numId w:val="8"/>
        </w:numPr>
      </w:pPr>
      <w:r>
        <w:t xml:space="preserve">Whilst the agreed approach is initially to establish separate pooled funds in each local authority area, each governed by local partnership agreements, the steps taken will be broadly consistent across the region. Opportunities will be taken to standardise aspects of commissioning across the region, for example service specifications, care home contracts, quality assurance and escalating concerns. Shared strategic intentions for the care home sector, informed by the Market Position Statement published in 2015, will underpin the care homes work. </w:t>
      </w:r>
    </w:p>
    <w:p w:rsidR="004A43C4" w:rsidRDefault="004A43C4" w:rsidP="004A43C4">
      <w:pPr>
        <w:pStyle w:val="ListParagraph"/>
      </w:pPr>
    </w:p>
    <w:p w:rsidR="004A43C4" w:rsidRDefault="004A43C4" w:rsidP="004A43C4">
      <w:pPr>
        <w:pStyle w:val="ListParagraph"/>
        <w:numPr>
          <w:ilvl w:val="0"/>
          <w:numId w:val="8"/>
        </w:numPr>
      </w:pPr>
      <w:r>
        <w:t>A full programme plan</w:t>
      </w:r>
      <w:r w:rsidR="00301B17">
        <w:t>,</w:t>
      </w:r>
      <w:r>
        <w:t xml:space="preserve"> spanning each </w:t>
      </w:r>
      <w:r w:rsidR="00301B17">
        <w:t xml:space="preserve">of the three </w:t>
      </w:r>
      <w:r>
        <w:t>component</w:t>
      </w:r>
      <w:r w:rsidR="00301B17">
        <w:t>s listed above,</w:t>
      </w:r>
      <w:r>
        <w:t xml:space="preserve"> is currently under development.</w:t>
      </w:r>
    </w:p>
    <w:p w:rsidR="001B5ECE" w:rsidRDefault="001B5ECE" w:rsidP="004A43C4">
      <w:pPr>
        <w:rPr>
          <w:i/>
        </w:rPr>
      </w:pPr>
    </w:p>
    <w:p w:rsidR="004A43C4" w:rsidRPr="004A43C4" w:rsidRDefault="004A43C4" w:rsidP="004A43C4">
      <w:bookmarkStart w:id="0" w:name="_GoBack"/>
      <w:bookmarkEnd w:id="0"/>
      <w:r w:rsidRPr="004A43C4">
        <w:rPr>
          <w:i/>
        </w:rPr>
        <w:t>IAA/ prevention</w:t>
      </w:r>
    </w:p>
    <w:p w:rsidR="004A43C4" w:rsidRDefault="004A43C4" w:rsidP="004A43C4">
      <w:pPr>
        <w:pStyle w:val="ListParagraph"/>
        <w:numPr>
          <w:ilvl w:val="0"/>
          <w:numId w:val="8"/>
        </w:numPr>
      </w:pPr>
      <w:r>
        <w:t>When this priority was considered at the development session which took place on 17 March, Board members concluded that the parameters should be amended to focus explicitly on IAA, given the centrality of the function within the Social Services and Wellbeing Act. This would also allow the identification of clear and tangible outcomes from the work.</w:t>
      </w:r>
    </w:p>
    <w:p w:rsidR="004A43C4" w:rsidRDefault="004A43C4" w:rsidP="004A43C4">
      <w:pPr>
        <w:pStyle w:val="ListParagraph"/>
        <w:ind w:left="360"/>
      </w:pPr>
    </w:p>
    <w:p w:rsidR="004A43C4" w:rsidRDefault="004A43C4" w:rsidP="004A43C4">
      <w:pPr>
        <w:pStyle w:val="ListParagraph"/>
        <w:numPr>
          <w:ilvl w:val="0"/>
          <w:numId w:val="8"/>
        </w:numPr>
      </w:pPr>
      <w:r>
        <w:t xml:space="preserve">Accordingly, a revised programme brief has been developed for which Carmarthenshire County Council will act as pace setter and which proposes inclusion of the following activities, </w:t>
      </w:r>
      <w:r w:rsidR="00301B17">
        <w:t>reflecting potential</w:t>
      </w:r>
      <w:r>
        <w:t xml:space="preserve"> areas for collaborative working identified in an evaluation of existing </w:t>
      </w:r>
      <w:r w:rsidR="00301B17">
        <w:t>provision</w:t>
      </w:r>
      <w:r>
        <w:t xml:space="preserve"> in the region </w:t>
      </w:r>
      <w:r w:rsidR="00301B17">
        <w:t xml:space="preserve">which was </w:t>
      </w:r>
      <w:r>
        <w:t>undertaken by the Institute of Public Care (IPC) in early 2016:</w:t>
      </w:r>
    </w:p>
    <w:p w:rsidR="004A43C4" w:rsidRDefault="004A43C4" w:rsidP="004A43C4">
      <w:pPr>
        <w:pStyle w:val="ListParagraph"/>
      </w:pPr>
    </w:p>
    <w:p w:rsidR="004A43C4" w:rsidRDefault="004A43C4" w:rsidP="004A43C4">
      <w:pPr>
        <w:pStyle w:val="ListParagraph"/>
        <w:numPr>
          <w:ilvl w:val="0"/>
          <w:numId w:val="36"/>
        </w:numPr>
      </w:pPr>
      <w:r>
        <w:t>Development of an agreed vision for IAA services</w:t>
      </w:r>
    </w:p>
    <w:p w:rsidR="004A43C4" w:rsidRDefault="004A43C4" w:rsidP="004A43C4">
      <w:pPr>
        <w:pStyle w:val="ListParagraph"/>
        <w:numPr>
          <w:ilvl w:val="0"/>
          <w:numId w:val="36"/>
        </w:numPr>
        <w:autoSpaceDE w:val="0"/>
        <w:autoSpaceDN w:val="0"/>
        <w:adjustRightInd w:val="0"/>
        <w:rPr>
          <w:lang w:eastAsia="en-GB"/>
        </w:rPr>
      </w:pPr>
      <w:r w:rsidRPr="004C4F50">
        <w:rPr>
          <w:lang w:eastAsia="en-GB"/>
        </w:rPr>
        <w:t>Deliver</w:t>
      </w:r>
      <w:r>
        <w:rPr>
          <w:lang w:eastAsia="en-GB"/>
        </w:rPr>
        <w:t>ing</w:t>
      </w:r>
      <w:r w:rsidRPr="004C4F50">
        <w:rPr>
          <w:lang w:eastAsia="en-GB"/>
        </w:rPr>
        <w:t xml:space="preserve"> consistency and common standards</w:t>
      </w:r>
      <w:r>
        <w:rPr>
          <w:lang w:eastAsia="en-GB"/>
        </w:rPr>
        <w:t xml:space="preserve"> of practice and performance monitoring</w:t>
      </w:r>
      <w:r w:rsidRPr="004C4F50">
        <w:rPr>
          <w:lang w:eastAsia="en-GB"/>
        </w:rPr>
        <w:t xml:space="preserve"> </w:t>
      </w:r>
      <w:r>
        <w:rPr>
          <w:lang w:eastAsia="en-GB"/>
        </w:rPr>
        <w:t xml:space="preserve">for the service </w:t>
      </w:r>
      <w:r w:rsidRPr="004C4F50">
        <w:rPr>
          <w:lang w:eastAsia="en-GB"/>
        </w:rPr>
        <w:t>throughout West Wales</w:t>
      </w:r>
    </w:p>
    <w:p w:rsidR="004A43C4" w:rsidRDefault="004A43C4" w:rsidP="004A43C4">
      <w:pPr>
        <w:pStyle w:val="ListParagraph"/>
        <w:numPr>
          <w:ilvl w:val="0"/>
          <w:numId w:val="36"/>
        </w:numPr>
        <w:autoSpaceDE w:val="0"/>
        <w:autoSpaceDN w:val="0"/>
        <w:adjustRightInd w:val="0"/>
        <w:rPr>
          <w:lang w:eastAsia="en-GB"/>
        </w:rPr>
      </w:pPr>
      <w:r>
        <w:rPr>
          <w:lang w:eastAsia="en-GB"/>
        </w:rPr>
        <w:t>Evaluation of different approaches to IAA in each part of the region</w:t>
      </w:r>
    </w:p>
    <w:p w:rsidR="00301B17" w:rsidRDefault="004A43C4" w:rsidP="004A43C4">
      <w:pPr>
        <w:pStyle w:val="ListParagraph"/>
        <w:numPr>
          <w:ilvl w:val="0"/>
          <w:numId w:val="36"/>
        </w:numPr>
        <w:autoSpaceDE w:val="0"/>
        <w:autoSpaceDN w:val="0"/>
        <w:adjustRightInd w:val="0"/>
        <w:rPr>
          <w:lang w:eastAsia="en-GB"/>
        </w:rPr>
      </w:pPr>
      <w:r>
        <w:rPr>
          <w:lang w:eastAsia="en-GB"/>
        </w:rPr>
        <w:t xml:space="preserve">Development of a regional vision for and approach to Assistive Technology, to complement IAA services and align with work being taken forward through the wellbeing strand of </w:t>
      </w:r>
      <w:r w:rsidR="00301B17">
        <w:rPr>
          <w:lang w:eastAsia="en-GB"/>
        </w:rPr>
        <w:t>within</w:t>
      </w:r>
      <w:r>
        <w:rPr>
          <w:lang w:eastAsia="en-GB"/>
        </w:rPr>
        <w:t xml:space="preserve"> Regional Collaboration for Health (ARCH)</w:t>
      </w:r>
    </w:p>
    <w:p w:rsidR="004A43C4" w:rsidRDefault="004A43C4" w:rsidP="004A43C4">
      <w:pPr>
        <w:pStyle w:val="ListParagraph"/>
        <w:numPr>
          <w:ilvl w:val="0"/>
          <w:numId w:val="36"/>
        </w:numPr>
        <w:autoSpaceDE w:val="0"/>
        <w:autoSpaceDN w:val="0"/>
        <w:adjustRightInd w:val="0"/>
        <w:rPr>
          <w:lang w:eastAsia="en-GB"/>
        </w:rPr>
      </w:pPr>
      <w:r>
        <w:rPr>
          <w:lang w:eastAsia="en-GB"/>
        </w:rPr>
        <w:t>Establishing links between the IAA service, Dewis information portal and emerging 111 service within the NHS</w:t>
      </w:r>
    </w:p>
    <w:p w:rsidR="004A43C4" w:rsidRDefault="004A43C4" w:rsidP="004A43C4">
      <w:pPr>
        <w:autoSpaceDE w:val="0"/>
        <w:autoSpaceDN w:val="0"/>
        <w:adjustRightInd w:val="0"/>
        <w:spacing w:after="0"/>
        <w:rPr>
          <w:lang w:eastAsia="en-GB"/>
        </w:rPr>
      </w:pPr>
    </w:p>
    <w:p w:rsidR="004A43C4" w:rsidRDefault="004A43C4" w:rsidP="004A43C4">
      <w:pPr>
        <w:pStyle w:val="ListParagraph"/>
        <w:numPr>
          <w:ilvl w:val="0"/>
          <w:numId w:val="8"/>
        </w:numPr>
        <w:autoSpaceDE w:val="0"/>
        <w:autoSpaceDN w:val="0"/>
        <w:adjustRightInd w:val="0"/>
        <w:rPr>
          <w:lang w:eastAsia="en-GB"/>
        </w:rPr>
      </w:pPr>
      <w:r>
        <w:rPr>
          <w:lang w:eastAsia="en-GB"/>
        </w:rPr>
        <w:t>Prevention will remain as an underpinning theme for the partnership, reflecting the findings of the Population Assessment and ambitions of the Act. Work is already advanced on the development of a consistent regional framework for prevention, which will be applied across services and will be aligned with service thresholds being introduced for children’s services. Pembrokeshire County Council will continue as pace setter for this part of the programme.</w:t>
      </w:r>
    </w:p>
    <w:p w:rsidR="004A43C4" w:rsidRDefault="004A43C4" w:rsidP="004A43C4">
      <w:pPr>
        <w:autoSpaceDE w:val="0"/>
        <w:autoSpaceDN w:val="0"/>
        <w:adjustRightInd w:val="0"/>
        <w:spacing w:after="0"/>
        <w:rPr>
          <w:lang w:eastAsia="en-GB"/>
        </w:rPr>
      </w:pPr>
    </w:p>
    <w:p w:rsidR="004A43C4" w:rsidRDefault="004A43C4" w:rsidP="004A43C4">
      <w:pPr>
        <w:pStyle w:val="ListParagraph"/>
        <w:numPr>
          <w:ilvl w:val="0"/>
          <w:numId w:val="8"/>
        </w:numPr>
        <w:autoSpaceDE w:val="0"/>
        <w:autoSpaceDN w:val="0"/>
        <w:adjustRightInd w:val="0"/>
        <w:rPr>
          <w:lang w:eastAsia="en-GB"/>
        </w:rPr>
      </w:pPr>
      <w:r>
        <w:t>Recruitment is underway to a combined programme manager post to oversee this and the integrated commissioning workstream.</w:t>
      </w:r>
    </w:p>
    <w:p w:rsidR="004A43C4" w:rsidRPr="004A43C4" w:rsidRDefault="004A43C4" w:rsidP="004A43C4">
      <w:pPr>
        <w:pStyle w:val="ListParagraph"/>
        <w:rPr>
          <w:i/>
        </w:rPr>
      </w:pPr>
    </w:p>
    <w:p w:rsidR="00814952" w:rsidRPr="004A43C4" w:rsidRDefault="004A43C4" w:rsidP="004A43C4">
      <w:pPr>
        <w:autoSpaceDE w:val="0"/>
        <w:autoSpaceDN w:val="0"/>
        <w:adjustRightInd w:val="0"/>
        <w:rPr>
          <w:lang w:eastAsia="en-GB"/>
        </w:rPr>
      </w:pPr>
      <w:r w:rsidRPr="004A43C4">
        <w:rPr>
          <w:i/>
        </w:rPr>
        <w:t xml:space="preserve">Implementation of </w:t>
      </w:r>
      <w:r w:rsidR="00573997" w:rsidRPr="004A43C4">
        <w:rPr>
          <w:i/>
        </w:rPr>
        <w:t>WCCIS</w:t>
      </w:r>
    </w:p>
    <w:p w:rsidR="004A43C4" w:rsidRDefault="00573997" w:rsidP="004A43C4">
      <w:pPr>
        <w:pStyle w:val="CommentText"/>
        <w:numPr>
          <w:ilvl w:val="0"/>
          <w:numId w:val="8"/>
        </w:numPr>
        <w:spacing w:line="240" w:lineRule="auto"/>
        <w:contextualSpacing/>
        <w:rPr>
          <w:rFonts w:ascii="Tahoma" w:hAnsi="Tahoma" w:cs="Tahoma"/>
          <w:sz w:val="24"/>
          <w:szCs w:val="24"/>
        </w:rPr>
      </w:pPr>
      <w:r>
        <w:rPr>
          <w:rFonts w:ascii="Tahoma" w:hAnsi="Tahoma" w:cs="Tahoma"/>
          <w:sz w:val="24"/>
          <w:szCs w:val="24"/>
        </w:rPr>
        <w:t>Each of the statutory partners has signed up to the implementation of WCCIS on a regional basis</w:t>
      </w:r>
      <w:r w:rsidRPr="00E706BD">
        <w:rPr>
          <w:rFonts w:ascii="Tahoma" w:hAnsi="Tahoma" w:cs="Tahoma"/>
          <w:sz w:val="24"/>
          <w:szCs w:val="24"/>
        </w:rPr>
        <w:t xml:space="preserve"> </w:t>
      </w:r>
      <w:r>
        <w:rPr>
          <w:rFonts w:ascii="Tahoma" w:hAnsi="Tahoma" w:cs="Tahoma"/>
          <w:sz w:val="24"/>
          <w:szCs w:val="24"/>
        </w:rPr>
        <w:t>in order to fully realise the benefits offered by the system.</w:t>
      </w:r>
    </w:p>
    <w:p w:rsidR="00573997" w:rsidRPr="00E706BD" w:rsidRDefault="00573997" w:rsidP="004A43C4">
      <w:pPr>
        <w:pStyle w:val="CommentText"/>
        <w:spacing w:line="240" w:lineRule="auto"/>
        <w:ind w:left="360"/>
        <w:contextualSpacing/>
        <w:rPr>
          <w:rFonts w:ascii="Tahoma" w:hAnsi="Tahoma" w:cs="Tahoma"/>
          <w:sz w:val="24"/>
          <w:szCs w:val="24"/>
        </w:rPr>
      </w:pPr>
    </w:p>
    <w:p w:rsidR="00573997" w:rsidRPr="00E706BD" w:rsidRDefault="00573997" w:rsidP="004A43C4">
      <w:pPr>
        <w:pStyle w:val="CommentText"/>
        <w:numPr>
          <w:ilvl w:val="0"/>
          <w:numId w:val="8"/>
        </w:numPr>
        <w:spacing w:line="240" w:lineRule="auto"/>
        <w:contextualSpacing/>
        <w:rPr>
          <w:rFonts w:ascii="Tahoma" w:hAnsi="Tahoma" w:cs="Tahoma"/>
          <w:sz w:val="24"/>
          <w:szCs w:val="24"/>
        </w:rPr>
      </w:pPr>
      <w:r w:rsidRPr="00E706BD">
        <w:rPr>
          <w:rFonts w:ascii="Tahoma" w:hAnsi="Tahoma" w:cs="Tahoma"/>
          <w:sz w:val="24"/>
          <w:szCs w:val="24"/>
        </w:rPr>
        <w:t xml:space="preserve">In March </w:t>
      </w:r>
      <w:r w:rsidR="00B14F00">
        <w:rPr>
          <w:rFonts w:ascii="Tahoma" w:hAnsi="Tahoma" w:cs="Tahoma"/>
          <w:sz w:val="24"/>
          <w:szCs w:val="24"/>
        </w:rPr>
        <w:t>a</w:t>
      </w:r>
      <w:r w:rsidRPr="00E706BD">
        <w:rPr>
          <w:rFonts w:ascii="Tahoma" w:hAnsi="Tahoma" w:cs="Tahoma"/>
          <w:sz w:val="24"/>
          <w:szCs w:val="24"/>
        </w:rPr>
        <w:t xml:space="preserve"> WCCIS Regional Implementation Manager commenced in post, tasked with designing and managing an implementation </w:t>
      </w:r>
      <w:r>
        <w:rPr>
          <w:rFonts w:ascii="Tahoma" w:hAnsi="Tahoma" w:cs="Tahoma"/>
          <w:sz w:val="24"/>
          <w:szCs w:val="24"/>
        </w:rPr>
        <w:t>for</w:t>
      </w:r>
      <w:r w:rsidRPr="00E706BD">
        <w:rPr>
          <w:rFonts w:ascii="Tahoma" w:hAnsi="Tahoma" w:cs="Tahoma"/>
          <w:sz w:val="24"/>
          <w:szCs w:val="24"/>
        </w:rPr>
        <w:t xml:space="preserve"> WCCIS across the region</w:t>
      </w:r>
      <w:r>
        <w:rPr>
          <w:rFonts w:ascii="Tahoma" w:hAnsi="Tahoma" w:cs="Tahoma"/>
          <w:sz w:val="24"/>
          <w:szCs w:val="24"/>
        </w:rPr>
        <w:t>. An Options Appraisal has</w:t>
      </w:r>
      <w:r w:rsidRPr="00E706BD">
        <w:rPr>
          <w:rFonts w:ascii="Tahoma" w:hAnsi="Tahoma" w:cs="Tahoma"/>
          <w:sz w:val="24"/>
          <w:szCs w:val="24"/>
        </w:rPr>
        <w:t xml:space="preserve"> </w:t>
      </w:r>
      <w:r>
        <w:rPr>
          <w:rFonts w:ascii="Tahoma" w:hAnsi="Tahoma" w:cs="Tahoma"/>
          <w:sz w:val="24"/>
          <w:szCs w:val="24"/>
        </w:rPr>
        <w:t>been</w:t>
      </w:r>
      <w:r w:rsidRPr="00E706BD">
        <w:rPr>
          <w:rFonts w:ascii="Tahoma" w:hAnsi="Tahoma" w:cs="Tahoma"/>
          <w:sz w:val="24"/>
          <w:szCs w:val="24"/>
        </w:rPr>
        <w:t xml:space="preserve"> developed, </w:t>
      </w:r>
      <w:r>
        <w:rPr>
          <w:rFonts w:ascii="Tahoma" w:hAnsi="Tahoma" w:cs="Tahoma"/>
          <w:sz w:val="24"/>
          <w:szCs w:val="24"/>
        </w:rPr>
        <w:t>in order to assist the identification of</w:t>
      </w:r>
      <w:r w:rsidRPr="00E706BD">
        <w:rPr>
          <w:rFonts w:ascii="Tahoma" w:hAnsi="Tahoma" w:cs="Tahoma"/>
          <w:sz w:val="24"/>
          <w:szCs w:val="24"/>
        </w:rPr>
        <w:t xml:space="preserve"> the most appropriate target Go-live date to maxim</w:t>
      </w:r>
      <w:r>
        <w:rPr>
          <w:rFonts w:ascii="Tahoma" w:hAnsi="Tahoma" w:cs="Tahoma"/>
          <w:sz w:val="24"/>
          <w:szCs w:val="24"/>
        </w:rPr>
        <w:t xml:space="preserve">ise the benefits for the region, and </w:t>
      </w:r>
      <w:r w:rsidRPr="00E706BD">
        <w:rPr>
          <w:rFonts w:ascii="Tahoma" w:hAnsi="Tahoma" w:cs="Tahoma"/>
          <w:sz w:val="24"/>
          <w:szCs w:val="24"/>
        </w:rPr>
        <w:t xml:space="preserve">for all </w:t>
      </w:r>
      <w:r>
        <w:rPr>
          <w:rFonts w:ascii="Tahoma" w:hAnsi="Tahoma" w:cs="Tahoma"/>
          <w:sz w:val="24"/>
          <w:szCs w:val="24"/>
        </w:rPr>
        <w:t xml:space="preserve">stakeholder </w:t>
      </w:r>
      <w:r w:rsidRPr="00E706BD">
        <w:rPr>
          <w:rFonts w:ascii="Tahoma" w:hAnsi="Tahoma" w:cs="Tahoma"/>
          <w:sz w:val="24"/>
          <w:szCs w:val="24"/>
        </w:rPr>
        <w:t xml:space="preserve">organisations. </w:t>
      </w:r>
      <w:r>
        <w:rPr>
          <w:rFonts w:ascii="Tahoma" w:hAnsi="Tahoma" w:cs="Tahoma"/>
          <w:sz w:val="24"/>
          <w:szCs w:val="24"/>
        </w:rPr>
        <w:t>The Regional Options Appraisal is attached as Appendix 1.</w:t>
      </w:r>
    </w:p>
    <w:p w:rsidR="00A94757" w:rsidRDefault="00A94757" w:rsidP="004A43C4">
      <w:pPr>
        <w:pStyle w:val="CommentText"/>
        <w:spacing w:line="240" w:lineRule="auto"/>
        <w:contextualSpacing/>
        <w:rPr>
          <w:rFonts w:ascii="Tahoma" w:hAnsi="Tahoma" w:cs="Tahoma"/>
          <w:sz w:val="24"/>
          <w:szCs w:val="24"/>
        </w:rPr>
      </w:pPr>
    </w:p>
    <w:p w:rsidR="00573997" w:rsidRDefault="00573997" w:rsidP="004A43C4">
      <w:pPr>
        <w:pStyle w:val="CommentText"/>
        <w:numPr>
          <w:ilvl w:val="0"/>
          <w:numId w:val="8"/>
        </w:numPr>
        <w:spacing w:line="240" w:lineRule="auto"/>
        <w:contextualSpacing/>
        <w:rPr>
          <w:rFonts w:ascii="Tahoma" w:hAnsi="Tahoma" w:cs="Tahoma"/>
          <w:sz w:val="24"/>
          <w:szCs w:val="24"/>
        </w:rPr>
      </w:pPr>
      <w:r w:rsidRPr="00E706BD">
        <w:rPr>
          <w:rFonts w:ascii="Tahoma" w:hAnsi="Tahoma" w:cs="Tahoma"/>
          <w:sz w:val="24"/>
          <w:szCs w:val="24"/>
        </w:rPr>
        <w:t>A Region</w:t>
      </w:r>
      <w:r>
        <w:rPr>
          <w:rFonts w:ascii="Tahoma" w:hAnsi="Tahoma" w:cs="Tahoma"/>
          <w:sz w:val="24"/>
          <w:szCs w:val="24"/>
        </w:rPr>
        <w:t>al WCCIS Implementation Board has</w:t>
      </w:r>
      <w:r w:rsidRPr="00E706BD">
        <w:rPr>
          <w:rFonts w:ascii="Tahoma" w:hAnsi="Tahoma" w:cs="Tahoma"/>
          <w:sz w:val="24"/>
          <w:szCs w:val="24"/>
        </w:rPr>
        <w:t xml:space="preserve"> be</w:t>
      </w:r>
      <w:r>
        <w:rPr>
          <w:rFonts w:ascii="Tahoma" w:hAnsi="Tahoma" w:cs="Tahoma"/>
          <w:sz w:val="24"/>
          <w:szCs w:val="24"/>
        </w:rPr>
        <w:t>en</w:t>
      </w:r>
      <w:r w:rsidRPr="00E706BD">
        <w:rPr>
          <w:rFonts w:ascii="Tahoma" w:hAnsi="Tahoma" w:cs="Tahoma"/>
          <w:sz w:val="24"/>
          <w:szCs w:val="24"/>
        </w:rPr>
        <w:t xml:space="preserve"> established</w:t>
      </w:r>
      <w:r>
        <w:rPr>
          <w:rFonts w:ascii="Tahoma" w:hAnsi="Tahoma" w:cs="Tahoma"/>
          <w:sz w:val="24"/>
          <w:szCs w:val="24"/>
        </w:rPr>
        <w:t xml:space="preserve"> to provide strategic leadership and to support the implementation process. This will be </w:t>
      </w:r>
      <w:r w:rsidRPr="00E706BD">
        <w:rPr>
          <w:rFonts w:ascii="Tahoma" w:hAnsi="Tahoma" w:cs="Tahoma"/>
          <w:sz w:val="24"/>
          <w:szCs w:val="24"/>
        </w:rPr>
        <w:t>supported by a Regional Project Group, and operational sub-groups.</w:t>
      </w:r>
      <w:r>
        <w:rPr>
          <w:rFonts w:ascii="Tahoma" w:hAnsi="Tahoma" w:cs="Tahoma"/>
          <w:sz w:val="24"/>
          <w:szCs w:val="24"/>
        </w:rPr>
        <w:t xml:space="preserve"> The first meeting of the Regional WCCIS Implementation Board will take place on 12 May. The Board will consider the Regional Options Appraisal and identify a preferred option. The RPB will be advised of the outcome of this and the option selected.</w:t>
      </w:r>
    </w:p>
    <w:p w:rsidR="00097AAE" w:rsidRDefault="00097AAE" w:rsidP="004A43C4">
      <w:pPr>
        <w:pStyle w:val="CommentText"/>
        <w:spacing w:line="240" w:lineRule="auto"/>
        <w:contextualSpacing/>
        <w:rPr>
          <w:rFonts w:ascii="Tahoma" w:hAnsi="Tahoma" w:cs="Tahoma"/>
          <w:sz w:val="24"/>
          <w:szCs w:val="24"/>
        </w:rPr>
      </w:pPr>
    </w:p>
    <w:p w:rsidR="00573997" w:rsidRPr="00E706BD" w:rsidRDefault="00573997" w:rsidP="004A43C4">
      <w:pPr>
        <w:pStyle w:val="CommentText"/>
        <w:numPr>
          <w:ilvl w:val="0"/>
          <w:numId w:val="8"/>
        </w:numPr>
        <w:spacing w:line="240" w:lineRule="auto"/>
        <w:contextualSpacing/>
        <w:rPr>
          <w:rFonts w:ascii="Tahoma" w:hAnsi="Tahoma" w:cs="Tahoma"/>
          <w:sz w:val="24"/>
          <w:szCs w:val="24"/>
        </w:rPr>
      </w:pPr>
      <w:r>
        <w:rPr>
          <w:rFonts w:ascii="Tahoma" w:hAnsi="Tahoma" w:cs="Tahoma"/>
          <w:sz w:val="24"/>
          <w:szCs w:val="24"/>
        </w:rPr>
        <w:t>Following the selection of a preferred option, which will establish the timescale for implementation, a Regional Business Case will be developed. This will be informed by such activities as a Readiness Assessment and Benefits Toolkit, both of which are nationally available resources. All activities are captured in a draft Implementation Plan which will be refined as the work progresses.</w:t>
      </w:r>
    </w:p>
    <w:p w:rsidR="004A43C4" w:rsidRDefault="004835E9" w:rsidP="004A43C4">
      <w:pPr>
        <w:pStyle w:val="ListParagraph"/>
        <w:numPr>
          <w:ilvl w:val="0"/>
          <w:numId w:val="8"/>
        </w:numPr>
      </w:pPr>
      <w:r>
        <w:t>The r</w:t>
      </w:r>
      <w:r w:rsidR="00573997">
        <w:t xml:space="preserve">ing-fenced </w:t>
      </w:r>
      <w:r w:rsidR="00573997" w:rsidRPr="00E706BD">
        <w:t>ICF funding is being utilised regionally to fund the Regional Implementation Manager post. Additionally, a draft plan is under development to identify how the remaining funding will be allocated to ensure that it contributes positively to readiness activities in 2017/18. Proposed activity includes: Training and Consultancy from the s</w:t>
      </w:r>
      <w:r w:rsidR="00573997">
        <w:t>upplier and other specialists; additional project management capacity to support Health Board scoping; w</w:t>
      </w:r>
      <w:r w:rsidR="00573997" w:rsidRPr="00E706BD">
        <w:t xml:space="preserve">orkshop resources (including facilitation); </w:t>
      </w:r>
      <w:r w:rsidR="00573997">
        <w:t>b</w:t>
      </w:r>
      <w:r w:rsidR="00573997" w:rsidRPr="00E706BD">
        <w:t>ackfill for staff undertaking regional work (e.g. Product Specialist)</w:t>
      </w:r>
      <w:r w:rsidR="00573997">
        <w:t>; and b</w:t>
      </w:r>
      <w:r w:rsidR="00573997" w:rsidRPr="00E706BD">
        <w:t>ackfill for LA/HB staff taking part in national training, workshops etc.</w:t>
      </w:r>
    </w:p>
    <w:p w:rsidR="004A43C4" w:rsidRDefault="004A43C4" w:rsidP="004A43C4">
      <w:pPr>
        <w:pStyle w:val="ListParagraph"/>
        <w:ind w:left="360"/>
      </w:pPr>
    </w:p>
    <w:p w:rsidR="004C356A" w:rsidRPr="004A43C4" w:rsidRDefault="004C356A" w:rsidP="004A43C4">
      <w:pPr>
        <w:rPr>
          <w:i/>
        </w:rPr>
      </w:pPr>
      <w:r w:rsidRPr="004A43C4">
        <w:rPr>
          <w:i/>
        </w:rPr>
        <w:t>Transformation of learning disability and mental health services</w:t>
      </w:r>
    </w:p>
    <w:p w:rsidR="00FC2966" w:rsidRDefault="004C356A" w:rsidP="004A43C4">
      <w:pPr>
        <w:pStyle w:val="ListParagraph"/>
        <w:numPr>
          <w:ilvl w:val="0"/>
          <w:numId w:val="8"/>
        </w:numPr>
      </w:pPr>
      <w:r>
        <w:t>Regional programmes to drive transformation of these services are u</w:t>
      </w:r>
      <w:r w:rsidR="00FC2966">
        <w:t>nderway</w:t>
      </w:r>
      <w:r w:rsidR="004A43C4">
        <w:t xml:space="preserve">. </w:t>
      </w:r>
      <w:r w:rsidR="00FC2966">
        <w:t>The Learning Disability Service Redesign pro</w:t>
      </w:r>
      <w:r w:rsidR="000F10BC">
        <w:t>gramme</w:t>
      </w:r>
      <w:r w:rsidR="00FC2966">
        <w:t xml:space="preserve"> is taking forward a range of workstreams linked to the regional Statement of Intent for Learning Disabilities Services published in 2014. Key priorities focus on defining and delivering a service model based on progression principles; improving joint commissioning of services and building a skilled, robust and diverse market; and continuing to ‘right-size’ existing packages of care to improve outcomes and efficiency, through the Accommodation and Efficiency programme.</w:t>
      </w:r>
    </w:p>
    <w:p w:rsidR="004A43C4" w:rsidRDefault="004A43C4" w:rsidP="004A43C4">
      <w:pPr>
        <w:pStyle w:val="ListParagraph"/>
        <w:ind w:left="360"/>
      </w:pPr>
    </w:p>
    <w:p w:rsidR="004A43C4" w:rsidRDefault="00FC2966" w:rsidP="004A43C4">
      <w:pPr>
        <w:pStyle w:val="ListParagraph"/>
        <w:numPr>
          <w:ilvl w:val="0"/>
          <w:numId w:val="8"/>
        </w:numPr>
      </w:pPr>
      <w:r>
        <w:t xml:space="preserve">A Project Initiation Document (PID) has been approved by the programme group and is attached as Appendix </w:t>
      </w:r>
      <w:r w:rsidR="004A43C4">
        <w:t>2</w:t>
      </w:r>
      <w:r>
        <w:t>.</w:t>
      </w:r>
    </w:p>
    <w:p w:rsidR="004A43C4" w:rsidRDefault="004A43C4" w:rsidP="004A43C4">
      <w:pPr>
        <w:pStyle w:val="ListParagraph"/>
      </w:pPr>
    </w:p>
    <w:p w:rsidR="004A43C4" w:rsidRDefault="00FC2966" w:rsidP="004A43C4">
      <w:pPr>
        <w:pStyle w:val="ListParagraph"/>
        <w:numPr>
          <w:ilvl w:val="0"/>
          <w:numId w:val="8"/>
        </w:numPr>
        <w:ind w:right="-613"/>
      </w:pPr>
      <w:r>
        <w:t xml:space="preserve">An early workstrand in support of the above objectives has been to develop a regional Market Position Statement </w:t>
      </w:r>
      <w:r w:rsidR="00B34EBB">
        <w:t xml:space="preserve">(MPS) </w:t>
      </w:r>
      <w:r>
        <w:t xml:space="preserve">which will be used to interact with current and </w:t>
      </w:r>
      <w:r w:rsidR="00B34EBB">
        <w:t>potential service providers to gain a shared understanding of future population needs; review the current market; describe a future approach to commissioning services; define the future shape of market needed to help providers position themselves to meet emerging need; and lay foundations for effective engagement between commissioners and providers to achieve a healthy and sustainable market. The MPS will be completed by late June.</w:t>
      </w:r>
    </w:p>
    <w:p w:rsidR="004A43C4" w:rsidRDefault="004A43C4" w:rsidP="004A43C4">
      <w:pPr>
        <w:pStyle w:val="ListParagraph"/>
      </w:pPr>
    </w:p>
    <w:p w:rsidR="00A60FD4" w:rsidRDefault="00F31CC5" w:rsidP="004A43C4">
      <w:pPr>
        <w:pStyle w:val="ListParagraph"/>
        <w:numPr>
          <w:ilvl w:val="0"/>
          <w:numId w:val="8"/>
        </w:numPr>
        <w:ind w:right="-613"/>
      </w:pPr>
      <w:r>
        <w:t xml:space="preserve">A project to remodel mental health services in West Wales </w:t>
      </w:r>
      <w:r w:rsidR="00A874E2">
        <w:t>aims to transform</w:t>
      </w:r>
      <w:r w:rsidRPr="009721E0">
        <w:t xml:space="preserve"> mental health so that they offer </w:t>
      </w:r>
      <w:r>
        <w:t>enhanced</w:t>
      </w:r>
      <w:r w:rsidRPr="009721E0">
        <w:t xml:space="preserve"> 24/ 7 care and support, </w:t>
      </w:r>
      <w:r w:rsidR="00A874E2">
        <w:t xml:space="preserve">look to develop crisis or recovery beds, </w:t>
      </w:r>
      <w:r w:rsidRPr="009721E0">
        <w:t>promote independence and e</w:t>
      </w:r>
      <w:r w:rsidR="00A60FD4">
        <w:t xml:space="preserve">mbrace ‘progression’ principles, is at an advanced stage. </w:t>
      </w:r>
      <w:r w:rsidRPr="009721E0">
        <w:t xml:space="preserve">Extensive engagement </w:t>
      </w:r>
      <w:r w:rsidR="00A60FD4">
        <w:t xml:space="preserve">has taken place </w:t>
      </w:r>
      <w:r w:rsidRPr="009721E0">
        <w:t xml:space="preserve">over future shape of mental health service provision in the region, resulting in </w:t>
      </w:r>
      <w:r>
        <w:t>a preferred</w:t>
      </w:r>
      <w:r w:rsidRPr="009721E0">
        <w:t xml:space="preserve"> future model incorporating a single point of access function, regional assessment and treatment units and 24/7 community mental health centres in each county</w:t>
      </w:r>
      <w:r w:rsidR="00A60FD4">
        <w:t xml:space="preserve">. Further public consultation on the model will be undertaken from </w:t>
      </w:r>
      <w:r w:rsidR="00A874E2">
        <w:t>June</w:t>
      </w:r>
      <w:r w:rsidR="00A60FD4">
        <w:t xml:space="preserve"> 2017.</w:t>
      </w:r>
    </w:p>
    <w:p w:rsidR="00F31CC5" w:rsidRPr="009721E0" w:rsidRDefault="00F31CC5" w:rsidP="004A43C4">
      <w:pPr>
        <w:spacing w:after="0"/>
        <w:ind w:right="-613" w:firstLine="150"/>
      </w:pPr>
    </w:p>
    <w:p w:rsidR="00B14F00" w:rsidRPr="004A43C4" w:rsidRDefault="00ED7480" w:rsidP="004A43C4">
      <w:pPr>
        <w:rPr>
          <w:b/>
        </w:rPr>
      </w:pPr>
      <w:r w:rsidRPr="004A43C4">
        <w:rPr>
          <w:b/>
        </w:rPr>
        <w:t>Future reporting</w:t>
      </w:r>
    </w:p>
    <w:p w:rsidR="00ED7480" w:rsidRPr="00B14F00" w:rsidRDefault="00ED7480" w:rsidP="004A43C4">
      <w:pPr>
        <w:pStyle w:val="ListParagraph"/>
        <w:numPr>
          <w:ilvl w:val="0"/>
          <w:numId w:val="8"/>
        </w:numPr>
      </w:pPr>
      <w:r>
        <w:t>Highlight reports in respect of each priority using a common template will be provided to the RPB from July 2017.</w:t>
      </w:r>
    </w:p>
    <w:sectPr w:rsidR="00ED7480" w:rsidRPr="00B14F00" w:rsidSect="002332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80" w:rsidRDefault="00217780" w:rsidP="00931B8A">
      <w:pPr>
        <w:spacing w:after="0"/>
      </w:pPr>
      <w:r>
        <w:separator/>
      </w:r>
    </w:p>
  </w:endnote>
  <w:endnote w:type="continuationSeparator" w:id="0">
    <w:p w:rsidR="00217780" w:rsidRDefault="00217780" w:rsidP="00931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085"/>
      <w:docPartObj>
        <w:docPartGallery w:val="Page Numbers (Bottom of Page)"/>
        <w:docPartUnique/>
      </w:docPartObj>
    </w:sdtPr>
    <w:sdtEndPr/>
    <w:sdtContent>
      <w:p w:rsidR="00837BB1" w:rsidRDefault="00E603CA">
        <w:pPr>
          <w:pStyle w:val="Footer"/>
          <w:jc w:val="right"/>
        </w:pPr>
        <w:r>
          <w:fldChar w:fldCharType="begin"/>
        </w:r>
        <w:r w:rsidR="0078247B">
          <w:instrText xml:space="preserve"> PAGE   \* MERGEFORMAT </w:instrText>
        </w:r>
        <w:r>
          <w:fldChar w:fldCharType="separate"/>
        </w:r>
        <w:r w:rsidR="001B5ECE">
          <w:rPr>
            <w:noProof/>
          </w:rPr>
          <w:t>4</w:t>
        </w:r>
        <w:r>
          <w:rPr>
            <w:noProof/>
          </w:rPr>
          <w:fldChar w:fldCharType="end"/>
        </w:r>
      </w:p>
    </w:sdtContent>
  </w:sdt>
  <w:p w:rsidR="00837BB1" w:rsidRDefault="0083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80" w:rsidRDefault="00217780" w:rsidP="00931B8A">
      <w:pPr>
        <w:spacing w:after="0"/>
      </w:pPr>
      <w:r>
        <w:separator/>
      </w:r>
    </w:p>
  </w:footnote>
  <w:footnote w:type="continuationSeparator" w:id="0">
    <w:p w:rsidR="00217780" w:rsidRDefault="00217780" w:rsidP="00931B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343"/>
    <w:multiLevelType w:val="hybridMultilevel"/>
    <w:tmpl w:val="A98849A6"/>
    <w:lvl w:ilvl="0" w:tplc="54ACDE9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32FA1"/>
    <w:multiLevelType w:val="hybridMultilevel"/>
    <w:tmpl w:val="8794D820"/>
    <w:lvl w:ilvl="0" w:tplc="EB327ADC">
      <w:start w:val="1"/>
      <w:numFmt w:val="bullet"/>
      <w:lvlText w:val=""/>
      <w:lvlJc w:val="left"/>
      <w:pPr>
        <w:ind w:left="360" w:hanging="360"/>
      </w:pPr>
      <w:rPr>
        <w:rFonts w:ascii="Symbol" w:hAnsi="Symbol" w:hint="default"/>
        <w:color w:val="CD1D5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53BAC"/>
    <w:multiLevelType w:val="hybridMultilevel"/>
    <w:tmpl w:val="D84438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6396095"/>
    <w:multiLevelType w:val="hybridMultilevel"/>
    <w:tmpl w:val="127EF304"/>
    <w:lvl w:ilvl="0" w:tplc="3E14F2FA">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07720"/>
    <w:multiLevelType w:val="hybridMultilevel"/>
    <w:tmpl w:val="AEAA3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60CCE"/>
    <w:multiLevelType w:val="hybridMultilevel"/>
    <w:tmpl w:val="C7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A3B78"/>
    <w:multiLevelType w:val="hybridMultilevel"/>
    <w:tmpl w:val="E1564C3A"/>
    <w:lvl w:ilvl="0" w:tplc="AE822826">
      <w:start w:val="1"/>
      <w:numFmt w:val="bullet"/>
      <w:lvlText w:val=""/>
      <w:lvlJc w:val="left"/>
      <w:pPr>
        <w:ind w:left="360" w:hanging="360"/>
      </w:pPr>
      <w:rPr>
        <w:rFonts w:ascii="Symbol" w:hAnsi="Symbol" w:hint="default"/>
        <w:color w:val="CD1D5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136CC"/>
    <w:multiLevelType w:val="hybridMultilevel"/>
    <w:tmpl w:val="D986A6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0ED5443E"/>
    <w:multiLevelType w:val="hybridMultilevel"/>
    <w:tmpl w:val="2A9ACB0A"/>
    <w:lvl w:ilvl="0" w:tplc="D50CAD2C">
      <w:start w:val="1"/>
      <w:numFmt w:val="bullet"/>
      <w:lvlText w:val=""/>
      <w:lvlJc w:val="left"/>
      <w:pPr>
        <w:ind w:left="360" w:hanging="360"/>
      </w:pPr>
      <w:rPr>
        <w:rFonts w:ascii="Symbol" w:hAnsi="Symbol" w:hint="default"/>
        <w:color w:val="CD1D5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0D4CD2"/>
    <w:multiLevelType w:val="hybridMultilevel"/>
    <w:tmpl w:val="BE6010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5AE6791"/>
    <w:multiLevelType w:val="hybridMultilevel"/>
    <w:tmpl w:val="F058EA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03AB7"/>
    <w:multiLevelType w:val="hybridMultilevel"/>
    <w:tmpl w:val="D9CAA8D4"/>
    <w:lvl w:ilvl="0" w:tplc="7B58568C">
      <w:start w:val="1"/>
      <w:numFmt w:val="bullet"/>
      <w:lvlText w:val=""/>
      <w:lvlJc w:val="left"/>
      <w:pPr>
        <w:ind w:left="360" w:hanging="360"/>
      </w:pPr>
      <w:rPr>
        <w:rFonts w:ascii="Symbol" w:hAnsi="Symbol" w:hint="default"/>
        <w:color w:val="CD1D5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8C1269"/>
    <w:multiLevelType w:val="hybridMultilevel"/>
    <w:tmpl w:val="179E5A88"/>
    <w:lvl w:ilvl="0" w:tplc="0602FA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9069D5"/>
    <w:multiLevelType w:val="hybridMultilevel"/>
    <w:tmpl w:val="BF70D3F2"/>
    <w:lvl w:ilvl="0" w:tplc="2B7C7EC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1132B"/>
    <w:multiLevelType w:val="hybridMultilevel"/>
    <w:tmpl w:val="746826BE"/>
    <w:lvl w:ilvl="0" w:tplc="FA868E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AA7EBA"/>
    <w:multiLevelType w:val="hybridMultilevel"/>
    <w:tmpl w:val="D464B7BE"/>
    <w:lvl w:ilvl="0" w:tplc="42E0ED78">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50A1C"/>
    <w:multiLevelType w:val="hybridMultilevel"/>
    <w:tmpl w:val="1B1EB584"/>
    <w:lvl w:ilvl="0" w:tplc="2B7C7E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13E15"/>
    <w:multiLevelType w:val="hybridMultilevel"/>
    <w:tmpl w:val="C6540D92"/>
    <w:lvl w:ilvl="0" w:tplc="060C475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FB3CE1"/>
    <w:multiLevelType w:val="hybridMultilevel"/>
    <w:tmpl w:val="8CCA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315AAE"/>
    <w:multiLevelType w:val="hybridMultilevel"/>
    <w:tmpl w:val="3C829F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626CE"/>
    <w:multiLevelType w:val="hybridMultilevel"/>
    <w:tmpl w:val="C5FA87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0F20925"/>
    <w:multiLevelType w:val="hybridMultilevel"/>
    <w:tmpl w:val="E1AAE9AA"/>
    <w:lvl w:ilvl="0" w:tplc="3302614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B56CD"/>
    <w:multiLevelType w:val="hybridMultilevel"/>
    <w:tmpl w:val="7D3CF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9B4053"/>
    <w:multiLevelType w:val="hybridMultilevel"/>
    <w:tmpl w:val="059C9B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76835"/>
    <w:multiLevelType w:val="hybridMultilevel"/>
    <w:tmpl w:val="262CED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F06D6"/>
    <w:multiLevelType w:val="hybridMultilevel"/>
    <w:tmpl w:val="F17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CF6E65"/>
    <w:multiLevelType w:val="hybridMultilevel"/>
    <w:tmpl w:val="C63A1CEC"/>
    <w:lvl w:ilvl="0" w:tplc="6F2EC1C8">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1A48"/>
    <w:multiLevelType w:val="hybridMultilevel"/>
    <w:tmpl w:val="BED6CC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14AF0"/>
    <w:multiLevelType w:val="hybridMultilevel"/>
    <w:tmpl w:val="4F60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C4F30"/>
    <w:multiLevelType w:val="hybridMultilevel"/>
    <w:tmpl w:val="20CC9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2C40BC"/>
    <w:multiLevelType w:val="hybridMultilevel"/>
    <w:tmpl w:val="DA907146"/>
    <w:lvl w:ilvl="0" w:tplc="7114694A">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25B8B"/>
    <w:multiLevelType w:val="hybridMultilevel"/>
    <w:tmpl w:val="36AA8556"/>
    <w:lvl w:ilvl="0" w:tplc="98BCD30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F03BA8"/>
    <w:multiLevelType w:val="hybridMultilevel"/>
    <w:tmpl w:val="D946EADC"/>
    <w:lvl w:ilvl="0" w:tplc="2B7C7EC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FD1D87"/>
    <w:multiLevelType w:val="hybridMultilevel"/>
    <w:tmpl w:val="F500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B6296"/>
    <w:multiLevelType w:val="hybridMultilevel"/>
    <w:tmpl w:val="D3B68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91554"/>
    <w:multiLevelType w:val="hybridMultilevel"/>
    <w:tmpl w:val="E91EC774"/>
    <w:lvl w:ilvl="0" w:tplc="45C27CC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312D9"/>
    <w:multiLevelType w:val="hybridMultilevel"/>
    <w:tmpl w:val="9FAC29E2"/>
    <w:lvl w:ilvl="0" w:tplc="FF6ECC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1B21F5"/>
    <w:multiLevelType w:val="hybridMultilevel"/>
    <w:tmpl w:val="BFCA36CA"/>
    <w:lvl w:ilvl="0" w:tplc="44DE831A">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14"/>
  </w:num>
  <w:num w:numId="4">
    <w:abstractNumId w:val="17"/>
  </w:num>
  <w:num w:numId="5">
    <w:abstractNumId w:val="34"/>
  </w:num>
  <w:num w:numId="6">
    <w:abstractNumId w:val="36"/>
  </w:num>
  <w:num w:numId="7">
    <w:abstractNumId w:val="2"/>
  </w:num>
  <w:num w:numId="8">
    <w:abstractNumId w:val="29"/>
  </w:num>
  <w:num w:numId="9">
    <w:abstractNumId w:val="7"/>
  </w:num>
  <w:num w:numId="10">
    <w:abstractNumId w:val="5"/>
  </w:num>
  <w:num w:numId="11">
    <w:abstractNumId w:val="9"/>
  </w:num>
  <w:num w:numId="12">
    <w:abstractNumId w:val="32"/>
  </w:num>
  <w:num w:numId="13">
    <w:abstractNumId w:val="4"/>
  </w:num>
  <w:num w:numId="14">
    <w:abstractNumId w:val="12"/>
  </w:num>
  <w:num w:numId="15">
    <w:abstractNumId w:val="21"/>
  </w:num>
  <w:num w:numId="16">
    <w:abstractNumId w:val="0"/>
  </w:num>
  <w:num w:numId="17">
    <w:abstractNumId w:val="35"/>
  </w:num>
  <w:num w:numId="18">
    <w:abstractNumId w:val="15"/>
  </w:num>
  <w:num w:numId="19">
    <w:abstractNumId w:val="31"/>
  </w:num>
  <w:num w:numId="20">
    <w:abstractNumId w:val="30"/>
  </w:num>
  <w:num w:numId="21">
    <w:abstractNumId w:val="26"/>
  </w:num>
  <w:num w:numId="22">
    <w:abstractNumId w:val="3"/>
  </w:num>
  <w:num w:numId="23">
    <w:abstractNumId w:val="37"/>
  </w:num>
  <w:num w:numId="24">
    <w:abstractNumId w:val="20"/>
  </w:num>
  <w:num w:numId="25">
    <w:abstractNumId w:val="16"/>
  </w:num>
  <w:num w:numId="26">
    <w:abstractNumId w:val="19"/>
  </w:num>
  <w:num w:numId="27">
    <w:abstractNumId w:val="22"/>
  </w:num>
  <w:num w:numId="28">
    <w:abstractNumId w:val="18"/>
  </w:num>
  <w:num w:numId="29">
    <w:abstractNumId w:val="8"/>
  </w:num>
  <w:num w:numId="30">
    <w:abstractNumId w:val="11"/>
  </w:num>
  <w:num w:numId="31">
    <w:abstractNumId w:val="6"/>
  </w:num>
  <w:num w:numId="32">
    <w:abstractNumId w:val="1"/>
  </w:num>
  <w:num w:numId="33">
    <w:abstractNumId w:val="33"/>
  </w:num>
  <w:num w:numId="34">
    <w:abstractNumId w:val="24"/>
  </w:num>
  <w:num w:numId="35">
    <w:abstractNumId w:val="10"/>
  </w:num>
  <w:num w:numId="36">
    <w:abstractNumId w:val="23"/>
  </w:num>
  <w:num w:numId="37">
    <w:abstractNumId w:val="2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63"/>
    <w:rsid w:val="00092F4A"/>
    <w:rsid w:val="00097AAE"/>
    <w:rsid w:val="000C404A"/>
    <w:rsid w:val="000D0DE6"/>
    <w:rsid w:val="000F10BC"/>
    <w:rsid w:val="00104F51"/>
    <w:rsid w:val="00196275"/>
    <w:rsid w:val="001A05A8"/>
    <w:rsid w:val="001B5ECE"/>
    <w:rsid w:val="001D56D2"/>
    <w:rsid w:val="00201E6F"/>
    <w:rsid w:val="00217780"/>
    <w:rsid w:val="002332FF"/>
    <w:rsid w:val="00294004"/>
    <w:rsid w:val="002C76CC"/>
    <w:rsid w:val="002D7E4F"/>
    <w:rsid w:val="002E2725"/>
    <w:rsid w:val="002E67AA"/>
    <w:rsid w:val="00301B17"/>
    <w:rsid w:val="0031321A"/>
    <w:rsid w:val="00316305"/>
    <w:rsid w:val="00321D7A"/>
    <w:rsid w:val="00331EBE"/>
    <w:rsid w:val="0035190B"/>
    <w:rsid w:val="0036009D"/>
    <w:rsid w:val="0036790C"/>
    <w:rsid w:val="00367B14"/>
    <w:rsid w:val="00396DE0"/>
    <w:rsid w:val="003C2278"/>
    <w:rsid w:val="003E1429"/>
    <w:rsid w:val="003E2A25"/>
    <w:rsid w:val="003F73F1"/>
    <w:rsid w:val="00431D83"/>
    <w:rsid w:val="00451839"/>
    <w:rsid w:val="004835E9"/>
    <w:rsid w:val="004A43C4"/>
    <w:rsid w:val="004A56AB"/>
    <w:rsid w:val="004C356A"/>
    <w:rsid w:val="00530E9D"/>
    <w:rsid w:val="0053348A"/>
    <w:rsid w:val="00536486"/>
    <w:rsid w:val="00573997"/>
    <w:rsid w:val="005A313E"/>
    <w:rsid w:val="005B173E"/>
    <w:rsid w:val="005B5EC4"/>
    <w:rsid w:val="00601375"/>
    <w:rsid w:val="006434BC"/>
    <w:rsid w:val="006773A7"/>
    <w:rsid w:val="006B3C99"/>
    <w:rsid w:val="006C1763"/>
    <w:rsid w:val="006C1917"/>
    <w:rsid w:val="006C4AC3"/>
    <w:rsid w:val="006C7724"/>
    <w:rsid w:val="006F1B93"/>
    <w:rsid w:val="00705FA4"/>
    <w:rsid w:val="007816F8"/>
    <w:rsid w:val="0078247B"/>
    <w:rsid w:val="008011ED"/>
    <w:rsid w:val="00814952"/>
    <w:rsid w:val="00836960"/>
    <w:rsid w:val="00837BB1"/>
    <w:rsid w:val="00860A62"/>
    <w:rsid w:val="0086557E"/>
    <w:rsid w:val="008A3195"/>
    <w:rsid w:val="009178A2"/>
    <w:rsid w:val="00924641"/>
    <w:rsid w:val="00931B8A"/>
    <w:rsid w:val="00974DD1"/>
    <w:rsid w:val="009F2BEC"/>
    <w:rsid w:val="00A42892"/>
    <w:rsid w:val="00A45990"/>
    <w:rsid w:val="00A60FD4"/>
    <w:rsid w:val="00A6796D"/>
    <w:rsid w:val="00A874E2"/>
    <w:rsid w:val="00A94757"/>
    <w:rsid w:val="00AD7999"/>
    <w:rsid w:val="00AE711D"/>
    <w:rsid w:val="00AF0207"/>
    <w:rsid w:val="00AF4A1D"/>
    <w:rsid w:val="00B14F00"/>
    <w:rsid w:val="00B24B6D"/>
    <w:rsid w:val="00B34EBB"/>
    <w:rsid w:val="00B52DEE"/>
    <w:rsid w:val="00B5521A"/>
    <w:rsid w:val="00B64B2C"/>
    <w:rsid w:val="00B7177A"/>
    <w:rsid w:val="00BA6566"/>
    <w:rsid w:val="00BB2A5F"/>
    <w:rsid w:val="00BC1DE0"/>
    <w:rsid w:val="00BC5FD6"/>
    <w:rsid w:val="00C1256F"/>
    <w:rsid w:val="00C2171D"/>
    <w:rsid w:val="00C27993"/>
    <w:rsid w:val="00C36EB0"/>
    <w:rsid w:val="00C67B1A"/>
    <w:rsid w:val="00D47266"/>
    <w:rsid w:val="00D85200"/>
    <w:rsid w:val="00DF170B"/>
    <w:rsid w:val="00E27631"/>
    <w:rsid w:val="00E35AE5"/>
    <w:rsid w:val="00E603CA"/>
    <w:rsid w:val="00ED7480"/>
    <w:rsid w:val="00EE40A4"/>
    <w:rsid w:val="00F002AA"/>
    <w:rsid w:val="00F27C7A"/>
    <w:rsid w:val="00F31CC5"/>
    <w:rsid w:val="00F70DBD"/>
    <w:rsid w:val="00F756DF"/>
    <w:rsid w:val="00F80352"/>
    <w:rsid w:val="00F83060"/>
    <w:rsid w:val="00FC2966"/>
    <w:rsid w:val="00FE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2F5FE-70E8-4C9F-B2C4-85030EFA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63"/>
  </w:style>
  <w:style w:type="paragraph" w:styleId="Heading1">
    <w:name w:val="heading 1"/>
    <w:basedOn w:val="Normal"/>
    <w:next w:val="Normal"/>
    <w:link w:val="Heading1Char"/>
    <w:qFormat/>
    <w:rsid w:val="006C1763"/>
    <w:pPr>
      <w:keepNext/>
      <w:spacing w:after="0"/>
      <w:jc w:val="both"/>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763"/>
    <w:rPr>
      <w:rFonts w:ascii="Arial" w:eastAsia="Times New Roman" w:hAnsi="Arial" w:cs="Times New Roman"/>
      <w:b/>
      <w:sz w:val="22"/>
      <w:szCs w:val="20"/>
      <w:lang w:eastAsia="en-GB"/>
    </w:rPr>
  </w:style>
  <w:style w:type="paragraph" w:styleId="ListParagraph">
    <w:name w:val="List Paragraph"/>
    <w:basedOn w:val="Normal"/>
    <w:uiPriority w:val="34"/>
    <w:qFormat/>
    <w:rsid w:val="006C1763"/>
    <w:pPr>
      <w:spacing w:after="0"/>
      <w:ind w:left="720"/>
      <w:contextualSpacing/>
    </w:pPr>
  </w:style>
  <w:style w:type="paragraph" w:styleId="Header">
    <w:name w:val="header"/>
    <w:basedOn w:val="Normal"/>
    <w:link w:val="HeaderChar"/>
    <w:uiPriority w:val="99"/>
    <w:semiHidden/>
    <w:unhideWhenUsed/>
    <w:rsid w:val="00931B8A"/>
    <w:pPr>
      <w:tabs>
        <w:tab w:val="center" w:pos="4513"/>
        <w:tab w:val="right" w:pos="9026"/>
      </w:tabs>
      <w:spacing w:after="0"/>
    </w:pPr>
  </w:style>
  <w:style w:type="character" w:customStyle="1" w:styleId="HeaderChar">
    <w:name w:val="Header Char"/>
    <w:basedOn w:val="DefaultParagraphFont"/>
    <w:link w:val="Header"/>
    <w:uiPriority w:val="99"/>
    <w:semiHidden/>
    <w:rsid w:val="00931B8A"/>
  </w:style>
  <w:style w:type="paragraph" w:styleId="Footer">
    <w:name w:val="footer"/>
    <w:basedOn w:val="Normal"/>
    <w:link w:val="FooterChar"/>
    <w:uiPriority w:val="99"/>
    <w:unhideWhenUsed/>
    <w:rsid w:val="00931B8A"/>
    <w:pPr>
      <w:tabs>
        <w:tab w:val="center" w:pos="4513"/>
        <w:tab w:val="right" w:pos="9026"/>
      </w:tabs>
      <w:spacing w:after="0"/>
    </w:pPr>
  </w:style>
  <w:style w:type="character" w:customStyle="1" w:styleId="FooterChar">
    <w:name w:val="Footer Char"/>
    <w:basedOn w:val="DefaultParagraphFont"/>
    <w:link w:val="Footer"/>
    <w:uiPriority w:val="99"/>
    <w:rsid w:val="00931B8A"/>
  </w:style>
  <w:style w:type="table" w:styleId="TableGrid">
    <w:name w:val="Table Grid"/>
    <w:basedOn w:val="TableNormal"/>
    <w:uiPriority w:val="59"/>
    <w:rsid w:val="00F70D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2A25"/>
    <w:pPr>
      <w:spacing w:before="100" w:beforeAutospacing="1" w:after="100" w:afterAutospacing="1"/>
    </w:pPr>
    <w:rPr>
      <w:rFonts w:ascii="Arial" w:eastAsia="Calibri" w:hAnsi="Arial" w:cs="Times New Roman"/>
      <w:lang w:val="en-US" w:eastAsia="zh-CN"/>
    </w:rPr>
  </w:style>
  <w:style w:type="character" w:styleId="Strong">
    <w:name w:val="Strong"/>
    <w:uiPriority w:val="22"/>
    <w:qFormat/>
    <w:rsid w:val="003E2A25"/>
    <w:rPr>
      <w:b/>
      <w:bCs/>
    </w:rPr>
  </w:style>
  <w:style w:type="paragraph" w:styleId="CommentText">
    <w:name w:val="annotation text"/>
    <w:basedOn w:val="Normal"/>
    <w:link w:val="CommentTextChar"/>
    <w:uiPriority w:val="99"/>
    <w:semiHidden/>
    <w:rsid w:val="00573997"/>
    <w:pPr>
      <w:spacing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7399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01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MJPalfreman</dc:creator>
  <cp:lastModifiedBy>Martyn J Palfreman</cp:lastModifiedBy>
  <cp:revision>5</cp:revision>
  <cp:lastPrinted>2017-05-12T12:10:00Z</cp:lastPrinted>
  <dcterms:created xsi:type="dcterms:W3CDTF">2017-05-12T11:47:00Z</dcterms:created>
  <dcterms:modified xsi:type="dcterms:W3CDTF">2017-05-12T12:14:00Z</dcterms:modified>
</cp:coreProperties>
</file>