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0" w:type="dxa"/>
        <w:tblLayout w:type="fixed"/>
        <w:tblLook w:val="0000" w:firstRow="0" w:lastRow="0" w:firstColumn="0" w:lastColumn="0" w:noHBand="0" w:noVBand="0"/>
      </w:tblPr>
      <w:tblGrid>
        <w:gridCol w:w="5920"/>
        <w:gridCol w:w="3240"/>
      </w:tblGrid>
      <w:tr w:rsidR="006C1763" w:rsidRPr="00DB7C1C" w:rsidTr="002C76CC">
        <w:tc>
          <w:tcPr>
            <w:tcW w:w="5920" w:type="dxa"/>
          </w:tcPr>
          <w:p w:rsidR="006C1763" w:rsidRDefault="006C1763" w:rsidP="002C76CC">
            <w:pPr>
              <w:pStyle w:val="Heading1"/>
              <w:ind w:right="45"/>
              <w:jc w:val="left"/>
              <w:rPr>
                <w:rFonts w:ascii="Tahoma" w:hAnsi="Tahoma" w:cs="Tahoma"/>
                <w:sz w:val="30"/>
              </w:rPr>
            </w:pPr>
            <w:r>
              <w:rPr>
                <w:rFonts w:ascii="Tahoma" w:hAnsi="Tahoma" w:cs="Tahoma"/>
                <w:sz w:val="30"/>
              </w:rPr>
              <w:t xml:space="preserve">WEST WALES </w:t>
            </w:r>
            <w:r w:rsidR="00E35AE5">
              <w:rPr>
                <w:rFonts w:ascii="Tahoma" w:hAnsi="Tahoma" w:cs="Tahoma"/>
                <w:sz w:val="30"/>
              </w:rPr>
              <w:t>REGIONAL PARTNERSHIP</w:t>
            </w:r>
            <w:r>
              <w:rPr>
                <w:rFonts w:ascii="Tahoma" w:hAnsi="Tahoma" w:cs="Tahoma"/>
                <w:sz w:val="30"/>
              </w:rPr>
              <w:t xml:space="preserve"> BOARD</w:t>
            </w:r>
          </w:p>
          <w:p w:rsidR="006C1763" w:rsidRPr="00702A35" w:rsidRDefault="006C1763" w:rsidP="002C76CC"/>
        </w:tc>
        <w:tc>
          <w:tcPr>
            <w:tcW w:w="3240" w:type="dxa"/>
          </w:tcPr>
          <w:p w:rsidR="006C1763" w:rsidRPr="00DB7C1C" w:rsidRDefault="006C1763" w:rsidP="004C0DB0">
            <w:pPr>
              <w:pStyle w:val="Heading1"/>
              <w:ind w:right="45"/>
              <w:jc w:val="right"/>
              <w:rPr>
                <w:rFonts w:ascii="Tahoma" w:hAnsi="Tahoma" w:cs="Tahoma"/>
                <w:sz w:val="28"/>
              </w:rPr>
            </w:pPr>
            <w:r w:rsidRPr="00DB7C1C">
              <w:rPr>
                <w:rFonts w:ascii="Tahoma" w:hAnsi="Tahoma" w:cs="Tahoma"/>
                <w:sz w:val="30"/>
              </w:rPr>
              <w:t>Item</w:t>
            </w:r>
            <w:r>
              <w:rPr>
                <w:rFonts w:ascii="Tahoma" w:hAnsi="Tahoma" w:cs="Tahoma"/>
                <w:sz w:val="30"/>
              </w:rPr>
              <w:t xml:space="preserve"> </w:t>
            </w:r>
            <w:r w:rsidR="004C0DB0">
              <w:rPr>
                <w:rFonts w:ascii="Tahoma" w:hAnsi="Tahoma" w:cs="Tahoma"/>
                <w:sz w:val="30"/>
              </w:rPr>
              <w:t>6b</w:t>
            </w:r>
          </w:p>
        </w:tc>
      </w:tr>
    </w:tbl>
    <w:p w:rsidR="006C1763" w:rsidRPr="00DB7C1C" w:rsidRDefault="00C27993" w:rsidP="006C1763">
      <w:pPr>
        <w:pStyle w:val="Heading1"/>
        <w:pBdr>
          <w:bottom w:val="single" w:sz="12" w:space="7" w:color="auto"/>
        </w:pBdr>
        <w:ind w:right="45"/>
        <w:rPr>
          <w:rFonts w:ascii="Tahoma" w:hAnsi="Tahoma" w:cs="Tahoma"/>
          <w:b w:val="0"/>
          <w:sz w:val="32"/>
        </w:rPr>
      </w:pPr>
      <w:r>
        <w:rPr>
          <w:rFonts w:ascii="Tahoma" w:hAnsi="Tahoma" w:cs="Tahoma"/>
          <w:b w:val="0"/>
          <w:sz w:val="28"/>
        </w:rPr>
        <w:t>19 MAY 2017</w:t>
      </w:r>
    </w:p>
    <w:p w:rsidR="006C1763" w:rsidRDefault="004C0DB0" w:rsidP="006C1763">
      <w:pPr>
        <w:rPr>
          <w:b/>
          <w:sz w:val="28"/>
          <w:szCs w:val="28"/>
        </w:rPr>
      </w:pPr>
      <w:r w:rsidRPr="004C0DB0">
        <w:rPr>
          <w:b/>
          <w:sz w:val="28"/>
          <w:szCs w:val="28"/>
        </w:rPr>
        <w:t>Integrated Care Fund: 2017-18 Programme Arrangements and Partner Agreement</w:t>
      </w:r>
      <w:r>
        <w:t xml:space="preserve"> </w:t>
      </w:r>
    </w:p>
    <w:tbl>
      <w:tblPr>
        <w:tblStyle w:val="TableGrid"/>
        <w:tblW w:w="0" w:type="auto"/>
        <w:tblLook w:val="04A0" w:firstRow="1" w:lastRow="0" w:firstColumn="1" w:lastColumn="0" w:noHBand="0" w:noVBand="1"/>
      </w:tblPr>
      <w:tblGrid>
        <w:gridCol w:w="9016"/>
      </w:tblGrid>
      <w:tr w:rsidR="00F70DBD" w:rsidTr="00F70DBD">
        <w:tc>
          <w:tcPr>
            <w:tcW w:w="9016" w:type="dxa"/>
          </w:tcPr>
          <w:p w:rsidR="00F70DBD" w:rsidRDefault="00F70DBD" w:rsidP="00F70DBD">
            <w:pPr>
              <w:rPr>
                <w:b/>
              </w:rPr>
            </w:pPr>
            <w:r>
              <w:rPr>
                <w:b/>
              </w:rPr>
              <w:t>Summary of report and key issues</w:t>
            </w:r>
          </w:p>
          <w:p w:rsidR="00F70DBD" w:rsidRDefault="00F70DBD" w:rsidP="00F70DBD">
            <w:pPr>
              <w:rPr>
                <w:b/>
              </w:rPr>
            </w:pPr>
          </w:p>
          <w:p w:rsidR="00BC1DE0" w:rsidRPr="00DE2EFA" w:rsidRDefault="00DE2EFA" w:rsidP="00BC1DE0">
            <w:r w:rsidRPr="00DE2EFA">
              <w:t>This report:</w:t>
            </w:r>
          </w:p>
          <w:p w:rsidR="00DE2EFA" w:rsidRPr="00DE2EFA" w:rsidRDefault="00DE2EFA" w:rsidP="00BC1DE0"/>
          <w:p w:rsidR="00DE2EFA" w:rsidRPr="00DE2EFA" w:rsidRDefault="00DE2EFA" w:rsidP="00DE2EFA">
            <w:pPr>
              <w:pStyle w:val="ListParagraph"/>
              <w:numPr>
                <w:ilvl w:val="0"/>
                <w:numId w:val="11"/>
              </w:numPr>
            </w:pPr>
            <w:r w:rsidRPr="00DE2EFA">
              <w:t>Confirms national changes to the Integrated Care Fund (ICF) for 2017-18</w:t>
            </w:r>
          </w:p>
          <w:p w:rsidR="00DE2EFA" w:rsidRPr="00DE2EFA" w:rsidRDefault="00DE2EFA" w:rsidP="00DE2EFA">
            <w:pPr>
              <w:pStyle w:val="ListParagraph"/>
              <w:numPr>
                <w:ilvl w:val="0"/>
                <w:numId w:val="11"/>
              </w:numPr>
            </w:pPr>
            <w:r w:rsidRPr="00DE2EFA">
              <w:t>Presents for consideration by the RPB proposed arrangements for ICF delivery in West Wales</w:t>
            </w:r>
          </w:p>
          <w:p w:rsidR="00DE2EFA" w:rsidRPr="00DE2EFA" w:rsidRDefault="00DE2EFA" w:rsidP="00DE2EFA">
            <w:pPr>
              <w:pStyle w:val="ListParagraph"/>
              <w:numPr>
                <w:ilvl w:val="0"/>
                <w:numId w:val="11"/>
              </w:numPr>
            </w:pPr>
            <w:r w:rsidRPr="00DE2EFA">
              <w:t>Invites the Board to make key decisions in relation to finalising the regional programme for the coming year</w:t>
            </w:r>
          </w:p>
          <w:p w:rsidR="00DE2EFA" w:rsidRPr="00B7177A" w:rsidRDefault="00DE2EFA" w:rsidP="00BC1DE0">
            <w:pPr>
              <w:rPr>
                <w:b/>
              </w:rPr>
            </w:pPr>
          </w:p>
          <w:p w:rsidR="00F70DBD" w:rsidRPr="00F70DBD" w:rsidRDefault="00F70DBD" w:rsidP="00F70DBD">
            <w:pPr>
              <w:contextualSpacing/>
              <w:rPr>
                <w:b/>
              </w:rPr>
            </w:pPr>
            <w:r w:rsidRPr="00F70DBD">
              <w:rPr>
                <w:b/>
              </w:rPr>
              <w:t>Recommendations:</w:t>
            </w:r>
          </w:p>
          <w:p w:rsidR="00F70DBD" w:rsidRDefault="00F70DBD" w:rsidP="00F70DBD">
            <w:pPr>
              <w:contextualSpacing/>
            </w:pPr>
          </w:p>
          <w:p w:rsidR="00F70DBD" w:rsidRPr="00B64B2C" w:rsidRDefault="00F70DBD" w:rsidP="00F70DBD">
            <w:pPr>
              <w:contextualSpacing/>
            </w:pPr>
            <w:r w:rsidRPr="00B64B2C">
              <w:t xml:space="preserve">That the </w:t>
            </w:r>
            <w:r w:rsidR="00331EBE">
              <w:t>RPB</w:t>
            </w:r>
            <w:r w:rsidRPr="00B64B2C">
              <w:t>:</w:t>
            </w:r>
          </w:p>
          <w:p w:rsidR="00F70DBD" w:rsidRPr="00B64B2C" w:rsidRDefault="00F70DBD" w:rsidP="00F70DBD">
            <w:pPr>
              <w:contextualSpacing/>
            </w:pPr>
          </w:p>
          <w:p w:rsidR="006C4AC3" w:rsidRPr="00DE2EFA" w:rsidRDefault="00DE2EFA" w:rsidP="00DE2EFA">
            <w:pPr>
              <w:pStyle w:val="ListParagraph"/>
              <w:numPr>
                <w:ilvl w:val="0"/>
                <w:numId w:val="2"/>
              </w:numPr>
            </w:pPr>
            <w:r w:rsidRPr="00DE2EFA">
              <w:t>Notes changes to the ICF effective from 2017-18</w:t>
            </w:r>
          </w:p>
          <w:p w:rsidR="00DE2EFA" w:rsidRPr="00DE2EFA" w:rsidRDefault="00DE2EFA" w:rsidP="00DE2EFA">
            <w:pPr>
              <w:pStyle w:val="ListParagraph"/>
              <w:numPr>
                <w:ilvl w:val="0"/>
                <w:numId w:val="2"/>
              </w:numPr>
            </w:pPr>
            <w:r w:rsidRPr="00DE2EFA">
              <w:t>Approves arrangements for delivering the programme in West Wales in 2017-18</w:t>
            </w:r>
          </w:p>
          <w:p w:rsidR="00DE2EFA" w:rsidRPr="00DE2EFA" w:rsidRDefault="00DE2EFA" w:rsidP="00DE2EFA">
            <w:pPr>
              <w:pStyle w:val="ListParagraph"/>
              <w:numPr>
                <w:ilvl w:val="0"/>
                <w:numId w:val="2"/>
              </w:numPr>
            </w:pPr>
            <w:r w:rsidRPr="00DE2EFA">
              <w:t>Signs off the draft Written Agreement setting out roles, responsibilities and accountabilities</w:t>
            </w:r>
          </w:p>
          <w:p w:rsidR="00DE2EFA" w:rsidRPr="00DE2EFA" w:rsidRDefault="00DE2EFA" w:rsidP="00DE2EFA">
            <w:pPr>
              <w:pStyle w:val="ListParagraph"/>
              <w:numPr>
                <w:ilvl w:val="0"/>
                <w:numId w:val="2"/>
              </w:numPr>
            </w:pPr>
            <w:r w:rsidRPr="00DE2EFA">
              <w:t>Notes proposed approach to implementation of the National Integrated Autism Service (NIAS) in West Wales</w:t>
            </w:r>
          </w:p>
          <w:p w:rsidR="00DE2EFA" w:rsidRPr="00355B05" w:rsidRDefault="00355B05" w:rsidP="00DE2EFA">
            <w:pPr>
              <w:pStyle w:val="ListParagraph"/>
              <w:numPr>
                <w:ilvl w:val="0"/>
                <w:numId w:val="2"/>
              </w:numPr>
            </w:pPr>
            <w:r w:rsidRPr="00355B05">
              <w:t>Agrees a process for sign-off of the Revenue Investment Plan and Capital Programme prior to submission to Welsh Government.</w:t>
            </w:r>
          </w:p>
          <w:p w:rsidR="00DE2EFA" w:rsidRDefault="00DE2EFA" w:rsidP="00DE2EFA">
            <w:pPr>
              <w:pStyle w:val="ListParagraph"/>
              <w:ind w:left="360"/>
              <w:rPr>
                <w:b/>
              </w:rPr>
            </w:pPr>
          </w:p>
        </w:tc>
      </w:tr>
    </w:tbl>
    <w:p w:rsidR="004C0DB0" w:rsidRDefault="004C0DB0" w:rsidP="006C1763">
      <w:pPr>
        <w:rPr>
          <w:b/>
        </w:rPr>
      </w:pPr>
    </w:p>
    <w:p w:rsidR="006C1763" w:rsidRPr="00644316" w:rsidRDefault="006C1763" w:rsidP="006C1763">
      <w:pPr>
        <w:rPr>
          <w:b/>
        </w:rPr>
      </w:pPr>
      <w:r w:rsidRPr="00B10087">
        <w:rPr>
          <w:b/>
        </w:rPr>
        <w:t>Purpose</w:t>
      </w:r>
    </w:p>
    <w:p w:rsidR="006C1763" w:rsidRDefault="00367B14" w:rsidP="006C1763">
      <w:pPr>
        <w:pStyle w:val="ListParagraph"/>
        <w:numPr>
          <w:ilvl w:val="0"/>
          <w:numId w:val="1"/>
        </w:numPr>
        <w:ind w:left="360"/>
      </w:pPr>
      <w:r>
        <w:t xml:space="preserve">To </w:t>
      </w:r>
      <w:r w:rsidR="004C0DB0">
        <w:t>(1) advise</w:t>
      </w:r>
      <w:r w:rsidR="00396DE0">
        <w:t xml:space="preserve"> the </w:t>
      </w:r>
      <w:r w:rsidR="00331EBE">
        <w:t>RPB</w:t>
      </w:r>
      <w:r w:rsidR="00396DE0">
        <w:t xml:space="preserve"> of </w:t>
      </w:r>
      <w:r w:rsidR="004C0DB0">
        <w:t>requirements in relation to the Integra</w:t>
      </w:r>
      <w:r w:rsidR="00375614">
        <w:t xml:space="preserve">ted Care Fund (ICF) for 2017-18, </w:t>
      </w:r>
      <w:r w:rsidR="004C0DB0">
        <w:t xml:space="preserve">(2) present for agreement a </w:t>
      </w:r>
      <w:r w:rsidR="006258C8">
        <w:t xml:space="preserve">Written </w:t>
      </w:r>
      <w:r w:rsidR="004C0DB0">
        <w:t>Agreement setting out responsibilities and accountabilities in relation to the development and delivery of the programme</w:t>
      </w:r>
      <w:r w:rsidR="00375614">
        <w:t xml:space="preserve"> and (3) seek in-principle agreement of the Revenue Investment Plan </w:t>
      </w:r>
      <w:r w:rsidR="00375614" w:rsidRPr="006258C8">
        <w:t>and Capital programme</w:t>
      </w:r>
      <w:r w:rsidR="00396DE0">
        <w:t>.</w:t>
      </w:r>
    </w:p>
    <w:p w:rsidR="006C1763" w:rsidRDefault="006C1763" w:rsidP="006C1763">
      <w:pPr>
        <w:pStyle w:val="ListParagraph"/>
        <w:ind w:left="0"/>
      </w:pPr>
    </w:p>
    <w:p w:rsidR="004C0DB0" w:rsidRPr="000E3BD1" w:rsidRDefault="004C0DB0" w:rsidP="004C0DB0">
      <w:pPr>
        <w:rPr>
          <w:b/>
        </w:rPr>
      </w:pPr>
      <w:r w:rsidRPr="000E3BD1">
        <w:rPr>
          <w:b/>
        </w:rPr>
        <w:t>Background</w:t>
      </w:r>
    </w:p>
    <w:p w:rsidR="004C0DB0" w:rsidRPr="000E3BD1" w:rsidRDefault="004C0DB0" w:rsidP="004C0DB0">
      <w:pPr>
        <w:pStyle w:val="ListParagraph"/>
        <w:numPr>
          <w:ilvl w:val="0"/>
          <w:numId w:val="1"/>
        </w:numPr>
        <w:ind w:left="426"/>
      </w:pPr>
      <w:r w:rsidRPr="000E3BD1">
        <w:t xml:space="preserve">The Welsh Government’s Intermediate Care Fund (ICF) has been available since 2014 to support partnership working across health, social care, housing and the third and independent sectors. The fund’s core aims </w:t>
      </w:r>
      <w:r w:rsidR="00375614">
        <w:t>have been</w:t>
      </w:r>
      <w:r w:rsidRPr="000E3BD1">
        <w:t xml:space="preserve"> to reduce </w:t>
      </w:r>
      <w:r w:rsidRPr="000E3BD1">
        <w:lastRenderedPageBreak/>
        <w:t xml:space="preserve">reliance on institutional care, promote and maximise independent living opportunities and support recovery and recuperation through </w:t>
      </w:r>
      <w:proofErr w:type="spellStart"/>
      <w:r w:rsidRPr="000E3BD1">
        <w:t>reablement</w:t>
      </w:r>
      <w:proofErr w:type="spellEnd"/>
      <w:r w:rsidRPr="000E3BD1">
        <w:t xml:space="preserve">. </w:t>
      </w:r>
    </w:p>
    <w:p w:rsidR="00350D2E" w:rsidRDefault="00350D2E" w:rsidP="00350D2E">
      <w:pPr>
        <w:pStyle w:val="ListParagraph"/>
        <w:ind w:left="426"/>
      </w:pPr>
    </w:p>
    <w:p w:rsidR="004C0DB0" w:rsidRDefault="004C0DB0" w:rsidP="004C0DB0">
      <w:pPr>
        <w:pStyle w:val="ListParagraph"/>
        <w:numPr>
          <w:ilvl w:val="0"/>
          <w:numId w:val="1"/>
        </w:numPr>
        <w:ind w:left="426"/>
      </w:pPr>
      <w:r w:rsidRPr="000E3BD1">
        <w:t xml:space="preserve">In 2014-15 and 2015-16 the focus of the funding was on older people and the overall aim of the fund was to support integrated working to help avoid unnecessary admissions to hospital and residential care and prevent delayed discharges from hospital. In 2016-17 the fund was expanded to support the integration of services for people with learning disabilities and children with complex needs. </w:t>
      </w:r>
      <w:r w:rsidR="00375614">
        <w:t xml:space="preserve">Funding was distributed in two tranches either side of elections to the Welsh Assembly. </w:t>
      </w:r>
      <w:r w:rsidRPr="000E3BD1">
        <w:t xml:space="preserve">Slightly revised criteria were announced for the second </w:t>
      </w:r>
      <w:r w:rsidR="00375614">
        <w:t>tranche</w:t>
      </w:r>
      <w:r w:rsidRPr="000E3BD1">
        <w:t>, with a specific focus on prevention.</w:t>
      </w:r>
    </w:p>
    <w:p w:rsidR="004C0DB0" w:rsidRPr="004C0DB0" w:rsidRDefault="004C0DB0" w:rsidP="004C0DB0">
      <w:pPr>
        <w:pStyle w:val="ListParagraph"/>
        <w:rPr>
          <w:b/>
        </w:rPr>
      </w:pPr>
    </w:p>
    <w:p w:rsidR="004C0DB0" w:rsidRPr="004C0DB0" w:rsidRDefault="004C0DB0" w:rsidP="004C0DB0">
      <w:r w:rsidRPr="004C0DB0">
        <w:rPr>
          <w:b/>
        </w:rPr>
        <w:t>ICF 2017-18</w:t>
      </w:r>
    </w:p>
    <w:p w:rsidR="004C0DB0" w:rsidRDefault="004C0DB0" w:rsidP="008E21CE">
      <w:pPr>
        <w:pStyle w:val="ListParagraph"/>
        <w:numPr>
          <w:ilvl w:val="0"/>
          <w:numId w:val="1"/>
        </w:numPr>
        <w:ind w:left="426"/>
      </w:pPr>
      <w:r w:rsidRPr="000E3BD1">
        <w:t xml:space="preserve">On 27 March 2017 Welsh Government </w:t>
      </w:r>
      <w:r w:rsidR="00375614">
        <w:t>advised on</w:t>
      </w:r>
      <w:r w:rsidRPr="000E3BD1">
        <w:t xml:space="preserve"> arrangements for the ICF in 2017-18. Key points are</w:t>
      </w:r>
      <w:r>
        <w:t xml:space="preserve"> as follows</w:t>
      </w:r>
      <w:r w:rsidRPr="000E3BD1">
        <w:t>:</w:t>
      </w:r>
    </w:p>
    <w:p w:rsidR="004C0DB0" w:rsidRDefault="004C0DB0" w:rsidP="008E21CE">
      <w:pPr>
        <w:pStyle w:val="ListParagraph"/>
        <w:ind w:left="426"/>
      </w:pPr>
    </w:p>
    <w:p w:rsidR="004C0DB0" w:rsidRPr="000E3BD1" w:rsidRDefault="004C0DB0" w:rsidP="00DE2EFA">
      <w:pPr>
        <w:pStyle w:val="ListParagraph"/>
        <w:numPr>
          <w:ilvl w:val="0"/>
          <w:numId w:val="3"/>
        </w:numPr>
        <w:spacing w:after="160"/>
        <w:ind w:left="786"/>
      </w:pPr>
      <w:r w:rsidRPr="000E3BD1">
        <w:t xml:space="preserve">The Fund </w:t>
      </w:r>
      <w:r>
        <w:t>is being</w:t>
      </w:r>
      <w:r w:rsidRPr="000E3BD1">
        <w:t xml:space="preserve"> renamed the Integrated Care Fund </w:t>
      </w:r>
    </w:p>
    <w:p w:rsidR="004C0DB0" w:rsidRPr="000E3BD1" w:rsidRDefault="004C0DB0" w:rsidP="00DE2EFA">
      <w:pPr>
        <w:pStyle w:val="ListParagraph"/>
        <w:numPr>
          <w:ilvl w:val="0"/>
          <w:numId w:val="3"/>
        </w:numPr>
        <w:spacing w:after="160"/>
        <w:ind w:left="786"/>
      </w:pPr>
      <w:r w:rsidRPr="000E3BD1">
        <w:t xml:space="preserve">WG consider ICF to be ‘an effective delivery mechanism for the Social Services and Wellbeing (Wales) Act’ and will </w:t>
      </w:r>
      <w:r w:rsidR="00375614">
        <w:t xml:space="preserve">continue to </w:t>
      </w:r>
      <w:r w:rsidRPr="000E3BD1">
        <w:t>be linked to integration in service areas identified as priority for Regional Partnership Boards namely:</w:t>
      </w:r>
    </w:p>
    <w:p w:rsidR="004C0DB0" w:rsidRPr="003B109D" w:rsidRDefault="004C0DB0" w:rsidP="00DE2EFA">
      <w:pPr>
        <w:pStyle w:val="ListParagraph"/>
        <w:numPr>
          <w:ilvl w:val="0"/>
          <w:numId w:val="5"/>
        </w:numPr>
        <w:spacing w:after="160"/>
        <w:ind w:left="1146"/>
      </w:pPr>
      <w:r w:rsidRPr="003B109D">
        <w:t>Older people with complex needs and long term conditions, including dementia</w:t>
      </w:r>
    </w:p>
    <w:p w:rsidR="004C0DB0" w:rsidRPr="003B109D" w:rsidRDefault="004C0DB0" w:rsidP="00DE2EFA">
      <w:pPr>
        <w:pStyle w:val="ListParagraph"/>
        <w:numPr>
          <w:ilvl w:val="0"/>
          <w:numId w:val="5"/>
        </w:numPr>
        <w:spacing w:after="160"/>
        <w:ind w:left="1146"/>
      </w:pPr>
      <w:r w:rsidRPr="003B109D">
        <w:t>People with learning disabilities</w:t>
      </w:r>
    </w:p>
    <w:p w:rsidR="004C0DB0" w:rsidRPr="003B109D" w:rsidRDefault="004C0DB0" w:rsidP="00DE2EFA">
      <w:pPr>
        <w:pStyle w:val="ListParagraph"/>
        <w:numPr>
          <w:ilvl w:val="0"/>
          <w:numId w:val="5"/>
        </w:numPr>
        <w:spacing w:after="160"/>
        <w:ind w:left="1146"/>
      </w:pPr>
      <w:r w:rsidRPr="003B109D">
        <w:t>Children with complex needs due to disability or illness</w:t>
      </w:r>
    </w:p>
    <w:p w:rsidR="004C0DB0" w:rsidRPr="000E3BD1" w:rsidRDefault="004C0DB0" w:rsidP="00DE2EFA">
      <w:pPr>
        <w:pStyle w:val="ListParagraph"/>
        <w:numPr>
          <w:ilvl w:val="1"/>
          <w:numId w:val="6"/>
        </w:numPr>
        <w:spacing w:after="160"/>
        <w:ind w:left="709"/>
      </w:pPr>
      <w:r w:rsidRPr="000E3BD1">
        <w:t xml:space="preserve">In addition, </w:t>
      </w:r>
      <w:r>
        <w:t xml:space="preserve">development of new service models and integration of </w:t>
      </w:r>
      <w:r w:rsidRPr="000E3BD1">
        <w:t>carers</w:t>
      </w:r>
      <w:r>
        <w:t>’ services</w:t>
      </w:r>
      <w:r w:rsidRPr="000E3BD1">
        <w:t xml:space="preserve"> are identified </w:t>
      </w:r>
      <w:r>
        <w:t>within</w:t>
      </w:r>
      <w:r w:rsidRPr="000E3BD1">
        <w:t xml:space="preserve"> the ICF (although transitional </w:t>
      </w:r>
      <w:r>
        <w:t xml:space="preserve">funding linked to the </w:t>
      </w:r>
      <w:r w:rsidRPr="000E3BD1">
        <w:t>Carers’ Measure will remain in place for 2017-18)</w:t>
      </w:r>
    </w:p>
    <w:p w:rsidR="004C0DB0" w:rsidRPr="000E3BD1" w:rsidRDefault="004C0DB0" w:rsidP="00DE2EFA">
      <w:pPr>
        <w:pStyle w:val="ListParagraph"/>
        <w:numPr>
          <w:ilvl w:val="1"/>
          <w:numId w:val="6"/>
        </w:numPr>
        <w:spacing w:after="160"/>
        <w:ind w:left="709"/>
      </w:pPr>
      <w:r w:rsidRPr="000E3BD1">
        <w:t>Ring-fenced amounts will continue to apply for implementation of WCCIS and establishing Integrated Autism services across Wales</w:t>
      </w:r>
    </w:p>
    <w:p w:rsidR="004C0DB0" w:rsidRDefault="004C0DB0" w:rsidP="00DE2EFA">
      <w:pPr>
        <w:pStyle w:val="ListParagraph"/>
        <w:numPr>
          <w:ilvl w:val="1"/>
          <w:numId w:val="6"/>
        </w:numPr>
        <w:spacing w:after="160"/>
        <w:ind w:left="709"/>
      </w:pPr>
      <w:r w:rsidRPr="000E3BD1">
        <w:t xml:space="preserve">Funding will continue to be allocated to LHBs in line with existing procedures but spending </w:t>
      </w:r>
      <w:r w:rsidRPr="000E3BD1">
        <w:rPr>
          <w:b/>
          <w:u w:val="single"/>
        </w:rPr>
        <w:t>must</w:t>
      </w:r>
      <w:r w:rsidRPr="000E3BD1">
        <w:t xml:space="preserve"> be determined by the full RPB. It remains vital that partners work together </w:t>
      </w:r>
      <w:r>
        <w:t xml:space="preserve">effectively </w:t>
      </w:r>
      <w:r w:rsidRPr="000E3BD1">
        <w:t>via the RPBs</w:t>
      </w:r>
      <w:r>
        <w:t xml:space="preserve"> to optimise use of the funding and respond to needs identified in the Population Assessment.</w:t>
      </w:r>
    </w:p>
    <w:p w:rsidR="004C0DB0" w:rsidRDefault="004C0DB0" w:rsidP="00DE2EFA">
      <w:pPr>
        <w:pStyle w:val="ListParagraph"/>
        <w:numPr>
          <w:ilvl w:val="1"/>
          <w:numId w:val="6"/>
        </w:numPr>
        <w:spacing w:after="160"/>
        <w:ind w:left="709"/>
      </w:pPr>
      <w:r>
        <w:t>WG’s Programme for Government includes a commitment to retain this fund for the remainder of the current Assembly term although revenue budgets will continue to be identified annually. Capital funding remains in the form of a grant and as such, requires housing-related outcomes to be demonstrated in any project proposal.</w:t>
      </w:r>
    </w:p>
    <w:p w:rsidR="00B95C7C" w:rsidRDefault="00B95C7C" w:rsidP="00F248E8">
      <w:pPr>
        <w:pStyle w:val="ListParagraph"/>
        <w:spacing w:after="160"/>
        <w:ind w:left="284"/>
      </w:pPr>
    </w:p>
    <w:p w:rsidR="00B95C7C" w:rsidRDefault="004C0DB0" w:rsidP="00F248E8">
      <w:pPr>
        <w:pStyle w:val="ListParagraph"/>
        <w:numPr>
          <w:ilvl w:val="0"/>
          <w:numId w:val="1"/>
        </w:numPr>
        <w:spacing w:after="160"/>
        <w:ind w:left="284" w:hanging="284"/>
      </w:pPr>
      <w:r>
        <w:t xml:space="preserve">Detailed Guidance for 2017-18 has </w:t>
      </w:r>
      <w:r w:rsidR="00350D2E">
        <w:t>now</w:t>
      </w:r>
      <w:r>
        <w:t xml:space="preserve"> been released and is attached as Appendix 1.</w:t>
      </w:r>
      <w:r w:rsidR="00B95C7C">
        <w:t xml:space="preserve"> Criteria remain the same as in previous years, namely that funding should be used to support:</w:t>
      </w:r>
    </w:p>
    <w:p w:rsidR="00375614" w:rsidRDefault="00375614" w:rsidP="00F248E8">
      <w:pPr>
        <w:pStyle w:val="ListParagraph"/>
        <w:spacing w:after="160"/>
        <w:ind w:left="284"/>
      </w:pPr>
    </w:p>
    <w:p w:rsidR="00B95C7C" w:rsidRDefault="00B95C7C" w:rsidP="00DE2EFA">
      <w:pPr>
        <w:pStyle w:val="ListParagraph"/>
        <w:numPr>
          <w:ilvl w:val="0"/>
          <w:numId w:val="7"/>
        </w:numPr>
        <w:spacing w:after="160"/>
      </w:pPr>
      <w:r>
        <w:t>Partnership working and coordination</w:t>
      </w:r>
    </w:p>
    <w:p w:rsidR="00B95C7C" w:rsidRDefault="00B95C7C" w:rsidP="00DE2EFA">
      <w:pPr>
        <w:pStyle w:val="ListParagraph"/>
        <w:numPr>
          <w:ilvl w:val="0"/>
          <w:numId w:val="7"/>
        </w:numPr>
        <w:spacing w:after="160"/>
      </w:pPr>
      <w:r>
        <w:t>Models based on prevention and early intervention</w:t>
      </w:r>
    </w:p>
    <w:p w:rsidR="00B95C7C" w:rsidRDefault="00B95C7C" w:rsidP="00DE2EFA">
      <w:pPr>
        <w:pStyle w:val="ListParagraph"/>
        <w:numPr>
          <w:ilvl w:val="0"/>
          <w:numId w:val="7"/>
        </w:numPr>
        <w:spacing w:after="160"/>
      </w:pPr>
      <w:r>
        <w:t>Development of alternative service models</w:t>
      </w:r>
    </w:p>
    <w:p w:rsidR="00350D2E" w:rsidRDefault="00350D2E" w:rsidP="00350D2E">
      <w:pPr>
        <w:pStyle w:val="ListParagraph"/>
        <w:spacing w:after="160" w:line="259" w:lineRule="auto"/>
      </w:pPr>
    </w:p>
    <w:p w:rsidR="00B95C7C" w:rsidRDefault="00B95C7C" w:rsidP="008E21CE">
      <w:pPr>
        <w:pStyle w:val="ListParagraph"/>
        <w:numPr>
          <w:ilvl w:val="0"/>
          <w:numId w:val="1"/>
        </w:numPr>
        <w:spacing w:after="160"/>
        <w:ind w:left="284" w:hanging="284"/>
      </w:pPr>
      <w:r>
        <w:t xml:space="preserve">In addition, funding can be used to support programmes that address care and support needs identified within regional Population Assessments. Funding </w:t>
      </w:r>
      <w:r w:rsidRPr="00350D2E">
        <w:rPr>
          <w:u w:val="single"/>
        </w:rPr>
        <w:t>must</w:t>
      </w:r>
      <w:r>
        <w:t xml:space="preserve"> be used to support new or additional provision of services, providing additionality, and </w:t>
      </w:r>
      <w:r w:rsidR="00375614">
        <w:t xml:space="preserve">should </w:t>
      </w:r>
      <w:r w:rsidR="00375614" w:rsidRPr="00375614">
        <w:rPr>
          <w:u w:val="single"/>
        </w:rPr>
        <w:t>not</w:t>
      </w:r>
      <w:r w:rsidR="00375614">
        <w:t xml:space="preserve"> be used </w:t>
      </w:r>
      <w:r>
        <w:t xml:space="preserve">to substitute existing funding streams or generate ongoing demand which cannot be met from within existing resources. </w:t>
      </w:r>
    </w:p>
    <w:p w:rsidR="004C0DB0" w:rsidRPr="00522235" w:rsidRDefault="004C0DB0" w:rsidP="008E21CE">
      <w:pPr>
        <w:rPr>
          <w:b/>
          <w:i/>
        </w:rPr>
      </w:pPr>
      <w:r w:rsidRPr="00522235">
        <w:rPr>
          <w:b/>
        </w:rPr>
        <w:t xml:space="preserve">Developing </w:t>
      </w:r>
      <w:r w:rsidR="00375614">
        <w:rPr>
          <w:b/>
        </w:rPr>
        <w:t xml:space="preserve">and delivering </w:t>
      </w:r>
      <w:r w:rsidRPr="00522235">
        <w:rPr>
          <w:b/>
        </w:rPr>
        <w:t>the programme: Arrangements for 2017-18</w:t>
      </w:r>
    </w:p>
    <w:p w:rsidR="00EA74B9" w:rsidRDefault="00375614" w:rsidP="008E21CE">
      <w:pPr>
        <w:pStyle w:val="ListParagraph"/>
        <w:numPr>
          <w:ilvl w:val="0"/>
          <w:numId w:val="1"/>
        </w:numPr>
        <w:ind w:left="284"/>
      </w:pPr>
      <w:r>
        <w:t xml:space="preserve">In December 2016 the RPB requested development of a revised governance model for the ICF which would </w:t>
      </w:r>
      <w:r w:rsidR="00413A4F">
        <w:t xml:space="preserve">(1) </w:t>
      </w:r>
      <w:r>
        <w:t xml:space="preserve">strengthen regional oversight, </w:t>
      </w:r>
      <w:r w:rsidR="00413A4F">
        <w:t xml:space="preserve">(2) </w:t>
      </w:r>
      <w:r>
        <w:t>maintain a regional top slice to support</w:t>
      </w:r>
      <w:r w:rsidR="00142DAF">
        <w:t xml:space="preserve"> programme coordination and delivery against</w:t>
      </w:r>
      <w:r>
        <w:t xml:space="preserve"> the Board’s strategic priorities and </w:t>
      </w:r>
      <w:r w:rsidR="00413A4F">
        <w:t xml:space="preserve">(3) </w:t>
      </w:r>
      <w:r>
        <w:t xml:space="preserve">preserve local discretion over the remainder of the </w:t>
      </w:r>
      <w:r w:rsidR="006258C8">
        <w:t>fund</w:t>
      </w:r>
      <w:r>
        <w:t xml:space="preserve">.   </w:t>
      </w:r>
    </w:p>
    <w:p w:rsidR="007F7828" w:rsidRDefault="007F7828" w:rsidP="008E21CE">
      <w:pPr>
        <w:pStyle w:val="ListParagraph"/>
        <w:ind w:left="284"/>
      </w:pPr>
    </w:p>
    <w:p w:rsidR="007F7828" w:rsidRDefault="00375614" w:rsidP="008E21CE">
      <w:pPr>
        <w:pStyle w:val="ListParagraph"/>
        <w:numPr>
          <w:ilvl w:val="0"/>
          <w:numId w:val="1"/>
        </w:numPr>
        <w:ind w:left="284"/>
      </w:pPr>
      <w:r>
        <w:t xml:space="preserve">The proposed model </w:t>
      </w:r>
      <w:r w:rsidR="004C0DB0">
        <w:t xml:space="preserve">for 2017-18 </w:t>
      </w:r>
      <w:r>
        <w:t>meets th</w:t>
      </w:r>
      <w:r w:rsidR="007F7828">
        <w:t>o</w:t>
      </w:r>
      <w:r>
        <w:t xml:space="preserve">se requirements and will enable the RPB to discharge its statutory responsibilities in relation to the fund. It also addresses </w:t>
      </w:r>
      <w:r w:rsidR="007F7828">
        <w:t>draft recommendations in an internal audit report undertaken on behalf of Hywel Dda UHB which identified limited assurance currently in relation to the effectiveness of ICF governance in the region.</w:t>
      </w:r>
    </w:p>
    <w:p w:rsidR="007F7828" w:rsidRDefault="007F7828" w:rsidP="008E21CE">
      <w:pPr>
        <w:pStyle w:val="ListParagraph"/>
        <w:ind w:left="284"/>
      </w:pPr>
    </w:p>
    <w:p w:rsidR="004C0DB0" w:rsidRDefault="007F7828" w:rsidP="008E21CE">
      <w:pPr>
        <w:pStyle w:val="ListParagraph"/>
        <w:numPr>
          <w:ilvl w:val="0"/>
          <w:numId w:val="1"/>
        </w:numPr>
        <w:ind w:left="284"/>
      </w:pPr>
      <w:r>
        <w:t>The new arrangements</w:t>
      </w:r>
      <w:r w:rsidR="004C0DB0">
        <w:t xml:space="preserve"> provide for:</w:t>
      </w:r>
    </w:p>
    <w:p w:rsidR="00EA74B9" w:rsidRPr="00DE2EFA" w:rsidRDefault="00EA74B9" w:rsidP="008E21CE">
      <w:pPr>
        <w:pStyle w:val="ListParagraph"/>
        <w:rPr>
          <w:sz w:val="16"/>
          <w:szCs w:val="16"/>
        </w:rPr>
      </w:pPr>
    </w:p>
    <w:p w:rsidR="004C0DB0" w:rsidRPr="00FF1BD1" w:rsidRDefault="004C0DB0" w:rsidP="00DE2EFA">
      <w:pPr>
        <w:pStyle w:val="ListParagraph"/>
        <w:numPr>
          <w:ilvl w:val="0"/>
          <w:numId w:val="4"/>
        </w:numPr>
        <w:spacing w:after="160"/>
        <w:ind w:left="644"/>
      </w:pPr>
      <w:r w:rsidRPr="00FF1BD1">
        <w:t>The programme being signed off formally by the RPB</w:t>
      </w:r>
    </w:p>
    <w:p w:rsidR="004C0DB0" w:rsidRPr="00FF1BD1" w:rsidRDefault="004C0DB0" w:rsidP="00DE2EFA">
      <w:pPr>
        <w:pStyle w:val="ListParagraph"/>
        <w:numPr>
          <w:ilvl w:val="0"/>
          <w:numId w:val="4"/>
        </w:numPr>
        <w:spacing w:after="160"/>
        <w:ind w:left="644"/>
      </w:pPr>
      <w:r w:rsidRPr="00FF1BD1">
        <w:t>Detailed scrutiny of delivery by the Integrated Programme Delivery Board (IPDB) on at least a quarterly basis with the IPDB signing off quarterly reports and recommending their approval by the RPB prior to submission to Welsh Government</w:t>
      </w:r>
    </w:p>
    <w:p w:rsidR="004C0DB0" w:rsidRPr="00FF1BD1" w:rsidRDefault="004C0DB0" w:rsidP="00DE2EFA">
      <w:pPr>
        <w:pStyle w:val="ListParagraph"/>
        <w:numPr>
          <w:ilvl w:val="0"/>
          <w:numId w:val="4"/>
        </w:numPr>
        <w:spacing w:after="160"/>
        <w:ind w:left="644"/>
      </w:pPr>
      <w:r w:rsidRPr="00FF1BD1">
        <w:t xml:space="preserve">Application of a regional top slice across the funding available for older people and people with learning disabilities/ complex needs to (a) support delivery of the RPB’s strategic priorities, (b) meet the costs of regional coordination of the programme by the Regional Collaboration Unit and Hywel Dda University Health Board and (c) fund any proposals for cross-regional programmes that </w:t>
      </w:r>
      <w:r>
        <w:t xml:space="preserve">contribute to the development of the Area Plan and </w:t>
      </w:r>
      <w:r w:rsidRPr="00FF1BD1">
        <w:t>are approved by the IPDB</w:t>
      </w:r>
    </w:p>
    <w:p w:rsidR="004C0DB0" w:rsidRPr="00FF1BD1" w:rsidRDefault="004C0DB0" w:rsidP="00DE2EFA">
      <w:pPr>
        <w:pStyle w:val="ListParagraph"/>
        <w:numPr>
          <w:ilvl w:val="0"/>
          <w:numId w:val="4"/>
        </w:numPr>
        <w:spacing w:after="160"/>
        <w:ind w:left="644"/>
      </w:pPr>
      <w:r w:rsidRPr="00FF1BD1">
        <w:t>Allocation of the remaining funding available for older people and people with learning disabilities/ complex needs to each county area on a population basis, with local programmes going through county-level partnership forums for approval</w:t>
      </w:r>
    </w:p>
    <w:p w:rsidR="004C0DB0" w:rsidRDefault="004C0DB0" w:rsidP="00DE2EFA">
      <w:pPr>
        <w:pStyle w:val="ListParagraph"/>
        <w:numPr>
          <w:ilvl w:val="0"/>
          <w:numId w:val="4"/>
        </w:numPr>
        <w:spacing w:after="160"/>
        <w:ind w:left="644"/>
      </w:pPr>
      <w:r w:rsidRPr="00FF1BD1">
        <w:t>Reallocation to each county area on a population basis of any surplus from the e</w:t>
      </w:r>
      <w:r>
        <w:t xml:space="preserve">lement of the regional top-slice identified to support </w:t>
      </w:r>
      <w:r w:rsidRPr="00FF1BD1">
        <w:t xml:space="preserve">regional programmes </w:t>
      </w:r>
    </w:p>
    <w:p w:rsidR="004C0DB0" w:rsidRPr="00FF1BD1" w:rsidRDefault="004C0DB0" w:rsidP="00DE2EFA">
      <w:pPr>
        <w:pStyle w:val="ListParagraph"/>
        <w:numPr>
          <w:ilvl w:val="0"/>
          <w:numId w:val="4"/>
        </w:numPr>
        <w:spacing w:after="160"/>
        <w:ind w:left="644"/>
      </w:pPr>
      <w:r>
        <w:t xml:space="preserve">Tailored arrangements for the </w:t>
      </w:r>
      <w:r w:rsidR="00DE2EFA">
        <w:t>NIAS</w:t>
      </w:r>
      <w:r>
        <w:t xml:space="preserve"> strand</w:t>
      </w:r>
      <w:r w:rsidR="00DE2EFA">
        <w:t xml:space="preserve"> (see below)</w:t>
      </w:r>
      <w:r>
        <w:t>, which will be subject to detailed national scrutiny and facilitate implementation of a prescribed service model</w:t>
      </w:r>
    </w:p>
    <w:p w:rsidR="004C0DB0" w:rsidRPr="00FF1BD1" w:rsidRDefault="004C0DB0" w:rsidP="00DE2EFA">
      <w:pPr>
        <w:pStyle w:val="ListParagraph"/>
        <w:numPr>
          <w:ilvl w:val="0"/>
          <w:numId w:val="4"/>
        </w:numPr>
        <w:spacing w:after="160"/>
        <w:ind w:left="644"/>
      </w:pPr>
      <w:r w:rsidRPr="00FF1BD1">
        <w:t>Improved financial planning and reporting</w:t>
      </w:r>
      <w:r>
        <w:t>, including management and reallocation of in-year slippage</w:t>
      </w:r>
    </w:p>
    <w:p w:rsidR="004C0DB0" w:rsidRDefault="004C0DB0" w:rsidP="00DE2EFA">
      <w:pPr>
        <w:pStyle w:val="ListParagraph"/>
        <w:numPr>
          <w:ilvl w:val="0"/>
          <w:numId w:val="4"/>
        </w:numPr>
        <w:spacing w:after="160"/>
        <w:ind w:left="644"/>
      </w:pPr>
      <w:r w:rsidRPr="00FF1BD1">
        <w:t>Effective monitoring of impact at regional level using an agreed, consistent set of performance indicators and outcome measures</w:t>
      </w:r>
    </w:p>
    <w:p w:rsidR="00350D2E" w:rsidRPr="00DE2EFA" w:rsidRDefault="00350D2E" w:rsidP="00A4476B">
      <w:pPr>
        <w:pStyle w:val="ListParagraph"/>
        <w:ind w:left="644"/>
        <w:rPr>
          <w:sz w:val="16"/>
          <w:szCs w:val="16"/>
        </w:rPr>
      </w:pPr>
    </w:p>
    <w:p w:rsidR="00350D2E" w:rsidRDefault="004F50A0" w:rsidP="00350D2E">
      <w:pPr>
        <w:pStyle w:val="ListParagraph"/>
        <w:numPr>
          <w:ilvl w:val="0"/>
          <w:numId w:val="1"/>
        </w:numPr>
        <w:ind w:left="284" w:hanging="426"/>
      </w:pPr>
      <w:r>
        <w:lastRenderedPageBreak/>
        <w:t xml:space="preserve">The ICF guidance requires that RPBs approve and submit to Welsh Government a Written Agreement </w:t>
      </w:r>
      <w:r w:rsidR="00413A4F">
        <w:t>stipulating</w:t>
      </w:r>
      <w:r>
        <w:t xml:space="preserve"> </w:t>
      </w:r>
      <w:r w:rsidR="00350D2E">
        <w:t xml:space="preserve">respective roles and accountabilities of the various partners in </w:t>
      </w:r>
      <w:r>
        <w:t>delivering regional programmes</w:t>
      </w:r>
      <w:r w:rsidR="00350D2E">
        <w:t xml:space="preserve">. </w:t>
      </w:r>
      <w:r>
        <w:t>A draft of this Agreement is attached</w:t>
      </w:r>
      <w:r w:rsidR="00350D2E">
        <w:t xml:space="preserve"> as Appendix </w:t>
      </w:r>
      <w:r w:rsidR="00F248E8">
        <w:t>2</w:t>
      </w:r>
      <w:r w:rsidR="00350D2E">
        <w:t>.</w:t>
      </w:r>
    </w:p>
    <w:p w:rsidR="008E21CE" w:rsidRDefault="008E21CE" w:rsidP="008E21CE">
      <w:pPr>
        <w:pStyle w:val="ListParagraph"/>
        <w:ind w:left="284"/>
      </w:pPr>
    </w:p>
    <w:p w:rsidR="004C0DB0" w:rsidRPr="00575C4C" w:rsidRDefault="004C0DB0" w:rsidP="004C0DB0">
      <w:pPr>
        <w:rPr>
          <w:b/>
        </w:rPr>
      </w:pPr>
      <w:proofErr w:type="gramStart"/>
      <w:r>
        <w:rPr>
          <w:b/>
        </w:rPr>
        <w:t xml:space="preserve">West </w:t>
      </w:r>
      <w:r w:rsidRPr="00575C4C">
        <w:rPr>
          <w:b/>
        </w:rPr>
        <w:t>Wales</w:t>
      </w:r>
      <w:proofErr w:type="gramEnd"/>
      <w:r w:rsidRPr="00575C4C">
        <w:rPr>
          <w:b/>
        </w:rPr>
        <w:t xml:space="preserve"> allocation</w:t>
      </w:r>
      <w:r w:rsidR="00CF3850">
        <w:rPr>
          <w:b/>
        </w:rPr>
        <w:t xml:space="preserve"> </w:t>
      </w:r>
    </w:p>
    <w:p w:rsidR="00142DAF" w:rsidRDefault="00A4476B" w:rsidP="00A4476B">
      <w:pPr>
        <w:pStyle w:val="ListParagraph"/>
        <w:numPr>
          <w:ilvl w:val="0"/>
          <w:numId w:val="1"/>
        </w:numPr>
        <w:ind w:left="284"/>
      </w:pPr>
      <w:r>
        <w:t xml:space="preserve"> For 2017-18 the West Wales allocation has been confirmed as follows:</w:t>
      </w:r>
    </w:p>
    <w:p w:rsidR="008E21CE" w:rsidRDefault="008E21CE" w:rsidP="008E21CE">
      <w:pPr>
        <w:pStyle w:val="ListParagraph"/>
        <w:ind w:left="284"/>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1016"/>
      </w:tblGrid>
      <w:tr w:rsidR="00A4476B" w:rsidTr="00DF7316">
        <w:tc>
          <w:tcPr>
            <w:tcW w:w="4508" w:type="dxa"/>
          </w:tcPr>
          <w:p w:rsidR="00A4476B" w:rsidRDefault="00A4476B" w:rsidP="00DF7316">
            <w:r>
              <w:t>Revenue</w:t>
            </w:r>
          </w:p>
          <w:p w:rsidR="00A4476B" w:rsidRPr="008E21CE" w:rsidRDefault="00A4476B" w:rsidP="00DF7316">
            <w:pPr>
              <w:rPr>
                <w:sz w:val="16"/>
                <w:szCs w:val="16"/>
              </w:rPr>
            </w:pPr>
          </w:p>
        </w:tc>
        <w:tc>
          <w:tcPr>
            <w:tcW w:w="1016" w:type="dxa"/>
          </w:tcPr>
          <w:p w:rsidR="00A4476B" w:rsidRDefault="00A4476B" w:rsidP="00DF7316">
            <w:pPr>
              <w:jc w:val="center"/>
            </w:pPr>
            <w:r>
              <w:t>£M</w:t>
            </w:r>
          </w:p>
        </w:tc>
      </w:tr>
      <w:tr w:rsidR="00A4476B" w:rsidTr="00DF7316">
        <w:tc>
          <w:tcPr>
            <w:tcW w:w="4508" w:type="dxa"/>
          </w:tcPr>
          <w:p w:rsidR="00A4476B" w:rsidRDefault="00A4476B" w:rsidP="00DF7316">
            <w:r>
              <w:t>Older people</w:t>
            </w:r>
          </w:p>
        </w:tc>
        <w:tc>
          <w:tcPr>
            <w:tcW w:w="1016" w:type="dxa"/>
          </w:tcPr>
          <w:p w:rsidR="00A4476B" w:rsidRDefault="00A4476B" w:rsidP="00DF7316">
            <w:pPr>
              <w:jc w:val="right"/>
            </w:pPr>
            <w:r>
              <w:t>4.140</w:t>
            </w:r>
          </w:p>
        </w:tc>
      </w:tr>
      <w:tr w:rsidR="00A4476B" w:rsidTr="00DF7316">
        <w:tc>
          <w:tcPr>
            <w:tcW w:w="4508" w:type="dxa"/>
          </w:tcPr>
          <w:p w:rsidR="00A4476B" w:rsidRDefault="00A4476B" w:rsidP="00DF7316">
            <w:r>
              <w:t>Learning disabilities/ complex needs</w:t>
            </w:r>
          </w:p>
        </w:tc>
        <w:tc>
          <w:tcPr>
            <w:tcW w:w="1016" w:type="dxa"/>
          </w:tcPr>
          <w:p w:rsidR="00A4476B" w:rsidRDefault="00A4476B" w:rsidP="00DF7316">
            <w:pPr>
              <w:jc w:val="right"/>
            </w:pPr>
            <w:r>
              <w:t>1.845</w:t>
            </w:r>
          </w:p>
        </w:tc>
      </w:tr>
      <w:tr w:rsidR="00A4476B" w:rsidTr="00DF7316">
        <w:tc>
          <w:tcPr>
            <w:tcW w:w="4508" w:type="dxa"/>
          </w:tcPr>
          <w:p w:rsidR="00A4476B" w:rsidRDefault="00A4476B" w:rsidP="00DF7316">
            <w:r>
              <w:t>Integrated autism service</w:t>
            </w:r>
          </w:p>
        </w:tc>
        <w:tc>
          <w:tcPr>
            <w:tcW w:w="1016" w:type="dxa"/>
          </w:tcPr>
          <w:p w:rsidR="00A4476B" w:rsidRDefault="00A4476B" w:rsidP="00DF7316">
            <w:pPr>
              <w:jc w:val="right"/>
            </w:pPr>
            <w:r>
              <w:t>0.298</w:t>
            </w:r>
          </w:p>
        </w:tc>
      </w:tr>
      <w:tr w:rsidR="00A4476B" w:rsidTr="00DF7316">
        <w:tc>
          <w:tcPr>
            <w:tcW w:w="4508" w:type="dxa"/>
            <w:tcBorders>
              <w:bottom w:val="single" w:sz="4" w:space="0" w:color="auto"/>
            </w:tcBorders>
          </w:tcPr>
          <w:p w:rsidR="00A4476B" w:rsidRDefault="00A4476B" w:rsidP="00DF7316">
            <w:r>
              <w:t>WCCIS</w:t>
            </w:r>
          </w:p>
        </w:tc>
        <w:tc>
          <w:tcPr>
            <w:tcW w:w="1016" w:type="dxa"/>
            <w:tcBorders>
              <w:bottom w:val="single" w:sz="4" w:space="0" w:color="auto"/>
            </w:tcBorders>
          </w:tcPr>
          <w:p w:rsidR="00A4476B" w:rsidRDefault="00A4476B" w:rsidP="00DF7316">
            <w:pPr>
              <w:jc w:val="right"/>
            </w:pPr>
            <w:r>
              <w:t>0.184</w:t>
            </w:r>
          </w:p>
        </w:tc>
      </w:tr>
      <w:tr w:rsidR="00A4476B" w:rsidRPr="005A2805" w:rsidTr="00DF7316">
        <w:tc>
          <w:tcPr>
            <w:tcW w:w="4508" w:type="dxa"/>
            <w:tcBorders>
              <w:top w:val="single" w:sz="4" w:space="0" w:color="auto"/>
            </w:tcBorders>
          </w:tcPr>
          <w:p w:rsidR="00A4476B" w:rsidRPr="005A2805" w:rsidRDefault="00A4476B" w:rsidP="00DF7316">
            <w:pPr>
              <w:rPr>
                <w:b/>
              </w:rPr>
            </w:pPr>
            <w:r w:rsidRPr="005A2805">
              <w:rPr>
                <w:b/>
              </w:rPr>
              <w:t>Total</w:t>
            </w:r>
          </w:p>
        </w:tc>
        <w:tc>
          <w:tcPr>
            <w:tcW w:w="1016" w:type="dxa"/>
            <w:tcBorders>
              <w:top w:val="single" w:sz="4" w:space="0" w:color="auto"/>
            </w:tcBorders>
          </w:tcPr>
          <w:p w:rsidR="00A4476B" w:rsidRPr="005A2805" w:rsidRDefault="00A4476B" w:rsidP="00DF7316">
            <w:pPr>
              <w:jc w:val="right"/>
              <w:rPr>
                <w:b/>
              </w:rPr>
            </w:pPr>
            <w:r w:rsidRPr="005A2805">
              <w:rPr>
                <w:b/>
              </w:rPr>
              <w:t>6.467</w:t>
            </w:r>
          </w:p>
        </w:tc>
      </w:tr>
    </w:tbl>
    <w:p w:rsidR="00142DAF" w:rsidRPr="008E21CE" w:rsidRDefault="00142DAF" w:rsidP="00A4476B">
      <w:pPr>
        <w:ind w:left="360"/>
        <w:rPr>
          <w:sz w:val="16"/>
          <w:szCs w:val="16"/>
        </w:rPr>
      </w:pPr>
    </w:p>
    <w:p w:rsidR="00A4476B" w:rsidRDefault="00142DAF" w:rsidP="00A4476B">
      <w:pPr>
        <w:ind w:left="360"/>
        <w:rPr>
          <w:b/>
        </w:rPr>
      </w:pPr>
      <w:r>
        <w:t xml:space="preserve">  </w:t>
      </w:r>
      <w:r w:rsidR="00A4476B">
        <w:t>Capital</w:t>
      </w:r>
      <w:r w:rsidR="006258C8">
        <w:t xml:space="preserve"> (Indicative grant)</w:t>
      </w:r>
      <w:r w:rsidR="006258C8">
        <w:tab/>
      </w:r>
      <w:r w:rsidR="006258C8">
        <w:tab/>
      </w:r>
      <w:r w:rsidR="006258C8">
        <w:tab/>
        <w:t xml:space="preserve"> </w:t>
      </w:r>
      <w:r w:rsidR="00A4476B" w:rsidRPr="00142DAF">
        <w:rPr>
          <w:b/>
        </w:rPr>
        <w:t>1.301</w:t>
      </w:r>
    </w:p>
    <w:p w:rsidR="00413A4F" w:rsidRDefault="00413A4F" w:rsidP="00413A4F">
      <w:pPr>
        <w:pStyle w:val="ListParagraph"/>
        <w:ind w:left="284"/>
      </w:pPr>
    </w:p>
    <w:p w:rsidR="00142DAF" w:rsidRDefault="00A4476B" w:rsidP="00142DAF">
      <w:pPr>
        <w:pStyle w:val="ListParagraph"/>
        <w:numPr>
          <w:ilvl w:val="0"/>
          <w:numId w:val="1"/>
        </w:numPr>
        <w:ind w:left="284"/>
      </w:pPr>
      <w:r>
        <w:t xml:space="preserve">Whilst the total </w:t>
      </w:r>
      <w:r w:rsidR="006258C8">
        <w:t xml:space="preserve">revenue </w:t>
      </w:r>
      <w:r>
        <w:t>allocation remains the same as in 2016-17,</w:t>
      </w:r>
      <w:r w:rsidR="00142DAF">
        <w:t xml:space="preserve"> and retains a ring-fenced amount to support implementation of WCCIS,</w:t>
      </w:r>
      <w:r>
        <w:t xml:space="preserve"> </w:t>
      </w:r>
      <w:r w:rsidR="00142DAF">
        <w:t>it should be noted that:</w:t>
      </w:r>
    </w:p>
    <w:p w:rsidR="00142DAF" w:rsidRDefault="00142DAF" w:rsidP="00142DAF">
      <w:pPr>
        <w:pStyle w:val="ListParagraph"/>
        <w:ind w:left="284"/>
      </w:pPr>
    </w:p>
    <w:p w:rsidR="00142DAF" w:rsidRDefault="00142DAF" w:rsidP="00DE2EFA">
      <w:pPr>
        <w:pStyle w:val="ListParagraph"/>
        <w:numPr>
          <w:ilvl w:val="0"/>
          <w:numId w:val="8"/>
        </w:numPr>
      </w:pPr>
      <w:r>
        <w:t xml:space="preserve">A further ring-fence has been applied to support implementation of the national integrated autism service (NIAS). This is being rolled out incrementally across Wales, with West Wales receiving its first year of funding this year to support establishment of the service by July 2018. The Integrated Programme Delivery Board (IPDB) has agreed to establish a regional strategy group to oversee this work. Further details are included in a report considered by the IPDB on 7 April, which is attached as Appendix </w:t>
      </w:r>
      <w:r w:rsidR="00F248E8">
        <w:t>3</w:t>
      </w:r>
      <w:r>
        <w:t>.</w:t>
      </w:r>
    </w:p>
    <w:p w:rsidR="00EA74B9" w:rsidRDefault="00142DAF" w:rsidP="00DE2EFA">
      <w:pPr>
        <w:pStyle w:val="ListParagraph"/>
        <w:numPr>
          <w:ilvl w:val="0"/>
          <w:numId w:val="8"/>
        </w:numPr>
      </w:pPr>
      <w:r>
        <w:t>Indicative a</w:t>
      </w:r>
      <w:r w:rsidR="004C0DB0">
        <w:t xml:space="preserve">llocations against each </w:t>
      </w:r>
      <w:r>
        <w:t>client group</w:t>
      </w:r>
      <w:r w:rsidR="004C0DB0">
        <w:t xml:space="preserve"> have been adjusted with the effect of increasing funding for learning disabilities and complex needs and decreasing that for older people</w:t>
      </w:r>
      <w:r>
        <w:t>; however Welsh Government has confirmed that this is not binding and can be readjusted to address demand and priorities within regions</w:t>
      </w:r>
    </w:p>
    <w:p w:rsidR="00EA74B9" w:rsidRDefault="00EA74B9" w:rsidP="00EA74B9">
      <w:pPr>
        <w:pStyle w:val="ListParagraph"/>
        <w:ind w:left="284"/>
      </w:pPr>
    </w:p>
    <w:p w:rsidR="00355B05" w:rsidRDefault="00413A4F" w:rsidP="00DE2EFA">
      <w:pPr>
        <w:pStyle w:val="ListParagraph"/>
        <w:numPr>
          <w:ilvl w:val="0"/>
          <w:numId w:val="9"/>
        </w:numPr>
      </w:pPr>
      <w:r>
        <w:t>The IPDB considered broad parameters for deployment of the net revenue allocation (after deduction of the ring-fenced amounts for WCCIS and the NIAS</w:t>
      </w:r>
      <w:r w:rsidR="006258C8">
        <w:t>)</w:t>
      </w:r>
      <w:r>
        <w:t xml:space="preserve">. It was agreed that, in addition to the regional top slice for programme coordination and delivery against strategic priorities, a further portion of the funding should be protected to support cross-regional programmes that would be delivered </w:t>
      </w:r>
      <w:r w:rsidR="006258C8">
        <w:t xml:space="preserve">across </w:t>
      </w:r>
      <w:r>
        <w:t>the three county areas. An indicative £300K has been set aside for this purpose. The remainder of the funding would be available to support projects determined at local level. This is summarised in the following table:</w:t>
      </w:r>
    </w:p>
    <w:p w:rsidR="00355B05" w:rsidRDefault="00355B05" w:rsidP="00355B05">
      <w:r>
        <w:br w:type="page"/>
      </w:r>
    </w:p>
    <w:p w:rsidR="00413A4F" w:rsidRDefault="00413A4F" w:rsidP="00413A4F">
      <w:pPr>
        <w:pStyle w:val="ListParagraph"/>
        <w:ind w:left="284"/>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992"/>
        <w:gridCol w:w="987"/>
        <w:gridCol w:w="1418"/>
        <w:gridCol w:w="1134"/>
      </w:tblGrid>
      <w:tr w:rsidR="00413A4F" w:rsidTr="000120DC">
        <w:tc>
          <w:tcPr>
            <w:tcW w:w="4820" w:type="dxa"/>
          </w:tcPr>
          <w:p w:rsidR="00413A4F" w:rsidRDefault="00413A4F" w:rsidP="00EA74B9">
            <w:pPr>
              <w:ind w:firstLine="318"/>
              <w:rPr>
                <w:b/>
              </w:rPr>
            </w:pPr>
          </w:p>
        </w:tc>
        <w:tc>
          <w:tcPr>
            <w:tcW w:w="992" w:type="dxa"/>
          </w:tcPr>
          <w:p w:rsidR="00413A4F" w:rsidRDefault="00413A4F" w:rsidP="00DF7316"/>
        </w:tc>
        <w:tc>
          <w:tcPr>
            <w:tcW w:w="987" w:type="dxa"/>
          </w:tcPr>
          <w:p w:rsidR="00413A4F" w:rsidRDefault="00413A4F" w:rsidP="00DF7316">
            <w:pPr>
              <w:jc w:val="center"/>
            </w:pPr>
          </w:p>
        </w:tc>
        <w:tc>
          <w:tcPr>
            <w:tcW w:w="1418" w:type="dxa"/>
          </w:tcPr>
          <w:p w:rsidR="00413A4F" w:rsidRDefault="00413A4F" w:rsidP="00DF7316">
            <w:pPr>
              <w:jc w:val="center"/>
            </w:pPr>
            <w:r>
              <w:t>£M</w:t>
            </w:r>
          </w:p>
        </w:tc>
        <w:tc>
          <w:tcPr>
            <w:tcW w:w="1134" w:type="dxa"/>
          </w:tcPr>
          <w:p w:rsidR="00413A4F" w:rsidRDefault="00413A4F" w:rsidP="00DF7316">
            <w:pPr>
              <w:jc w:val="center"/>
            </w:pPr>
          </w:p>
        </w:tc>
      </w:tr>
      <w:tr w:rsidR="004C0DB0" w:rsidTr="000120DC">
        <w:tc>
          <w:tcPr>
            <w:tcW w:w="4820" w:type="dxa"/>
          </w:tcPr>
          <w:p w:rsidR="00413A4F" w:rsidRDefault="00413A4F" w:rsidP="00EA74B9">
            <w:pPr>
              <w:ind w:firstLine="318"/>
              <w:rPr>
                <w:b/>
              </w:rPr>
            </w:pPr>
          </w:p>
          <w:p w:rsidR="004C0DB0" w:rsidRPr="007A5729" w:rsidRDefault="004C0DB0" w:rsidP="00EA74B9">
            <w:pPr>
              <w:ind w:firstLine="318"/>
              <w:rPr>
                <w:b/>
              </w:rPr>
            </w:pPr>
            <w:r w:rsidRPr="007A5729">
              <w:rPr>
                <w:b/>
              </w:rPr>
              <w:t>Regional top slice</w:t>
            </w:r>
          </w:p>
        </w:tc>
        <w:tc>
          <w:tcPr>
            <w:tcW w:w="992" w:type="dxa"/>
          </w:tcPr>
          <w:p w:rsidR="004C0DB0" w:rsidRDefault="004C0DB0" w:rsidP="00DF7316"/>
        </w:tc>
        <w:tc>
          <w:tcPr>
            <w:tcW w:w="987" w:type="dxa"/>
          </w:tcPr>
          <w:p w:rsidR="004C0DB0" w:rsidRDefault="004C0DB0" w:rsidP="00DF7316">
            <w:pPr>
              <w:jc w:val="center"/>
            </w:pPr>
            <w:proofErr w:type="spellStart"/>
            <w:r>
              <w:t>Carms</w:t>
            </w:r>
            <w:proofErr w:type="spellEnd"/>
          </w:p>
        </w:tc>
        <w:tc>
          <w:tcPr>
            <w:tcW w:w="1418" w:type="dxa"/>
          </w:tcPr>
          <w:p w:rsidR="004C0DB0" w:rsidRDefault="004C0DB0" w:rsidP="00DF7316">
            <w:pPr>
              <w:jc w:val="center"/>
            </w:pPr>
            <w:r>
              <w:t>Ceredigion</w:t>
            </w:r>
          </w:p>
        </w:tc>
        <w:tc>
          <w:tcPr>
            <w:tcW w:w="1134" w:type="dxa"/>
          </w:tcPr>
          <w:p w:rsidR="004C0DB0" w:rsidRDefault="004C0DB0" w:rsidP="00DF7316">
            <w:pPr>
              <w:jc w:val="center"/>
            </w:pPr>
            <w:r>
              <w:t>Pembs</w:t>
            </w:r>
          </w:p>
        </w:tc>
      </w:tr>
      <w:tr w:rsidR="004C0DB0" w:rsidTr="000120DC">
        <w:tc>
          <w:tcPr>
            <w:tcW w:w="4820" w:type="dxa"/>
          </w:tcPr>
          <w:p w:rsidR="004C0DB0" w:rsidRDefault="004C0DB0" w:rsidP="00EA74B9">
            <w:pPr>
              <w:ind w:firstLine="318"/>
            </w:pPr>
            <w:r>
              <w:t>Coordination</w:t>
            </w:r>
            <w:r w:rsidR="00350D2E">
              <w:t xml:space="preserve"> (RCU and HDUHB Finance)</w:t>
            </w:r>
          </w:p>
        </w:tc>
        <w:tc>
          <w:tcPr>
            <w:tcW w:w="992" w:type="dxa"/>
          </w:tcPr>
          <w:p w:rsidR="004C0DB0" w:rsidRDefault="004C0DB0" w:rsidP="000120DC">
            <w:r>
              <w:t>0.0</w:t>
            </w:r>
            <w:r w:rsidR="000120DC">
              <w:t>74</w:t>
            </w:r>
          </w:p>
        </w:tc>
        <w:tc>
          <w:tcPr>
            <w:tcW w:w="987" w:type="dxa"/>
          </w:tcPr>
          <w:p w:rsidR="004C0DB0" w:rsidRDefault="004C0DB0" w:rsidP="00DF7316"/>
        </w:tc>
        <w:tc>
          <w:tcPr>
            <w:tcW w:w="1418" w:type="dxa"/>
          </w:tcPr>
          <w:p w:rsidR="004C0DB0" w:rsidRDefault="004C0DB0" w:rsidP="00DF7316"/>
        </w:tc>
        <w:tc>
          <w:tcPr>
            <w:tcW w:w="1134" w:type="dxa"/>
          </w:tcPr>
          <w:p w:rsidR="004C0DB0" w:rsidRDefault="004C0DB0" w:rsidP="00DF7316"/>
        </w:tc>
      </w:tr>
      <w:tr w:rsidR="004C0DB0" w:rsidTr="000120DC">
        <w:tc>
          <w:tcPr>
            <w:tcW w:w="4820" w:type="dxa"/>
          </w:tcPr>
          <w:p w:rsidR="004C0DB0" w:rsidRDefault="000120DC" w:rsidP="00EA74B9">
            <w:pPr>
              <w:ind w:firstLine="318"/>
            </w:pPr>
            <w:r>
              <w:t>Delivery of RPB s</w:t>
            </w:r>
            <w:r w:rsidR="004C0DB0">
              <w:t xml:space="preserve">trategic priorities </w:t>
            </w:r>
          </w:p>
        </w:tc>
        <w:tc>
          <w:tcPr>
            <w:tcW w:w="992" w:type="dxa"/>
          </w:tcPr>
          <w:p w:rsidR="004C0DB0" w:rsidRDefault="004C0DB0" w:rsidP="000120DC">
            <w:r>
              <w:t>0.</w:t>
            </w:r>
            <w:r w:rsidR="000120DC">
              <w:t>280</w:t>
            </w:r>
          </w:p>
        </w:tc>
        <w:tc>
          <w:tcPr>
            <w:tcW w:w="987" w:type="dxa"/>
          </w:tcPr>
          <w:p w:rsidR="004C0DB0" w:rsidRDefault="004C0DB0" w:rsidP="00DF7316"/>
        </w:tc>
        <w:tc>
          <w:tcPr>
            <w:tcW w:w="1418" w:type="dxa"/>
          </w:tcPr>
          <w:p w:rsidR="004C0DB0" w:rsidRDefault="004C0DB0" w:rsidP="00DF7316"/>
        </w:tc>
        <w:tc>
          <w:tcPr>
            <w:tcW w:w="1134" w:type="dxa"/>
          </w:tcPr>
          <w:p w:rsidR="004C0DB0" w:rsidRDefault="004C0DB0" w:rsidP="00DF7316"/>
        </w:tc>
      </w:tr>
      <w:tr w:rsidR="004C0DB0" w:rsidTr="000120DC">
        <w:tc>
          <w:tcPr>
            <w:tcW w:w="4820" w:type="dxa"/>
            <w:tcBorders>
              <w:bottom w:val="single" w:sz="4" w:space="0" w:color="auto"/>
            </w:tcBorders>
          </w:tcPr>
          <w:p w:rsidR="004C0DB0" w:rsidRDefault="00350D2E" w:rsidP="00EA74B9">
            <w:pPr>
              <w:ind w:firstLine="318"/>
            </w:pPr>
            <w:r>
              <w:t>Cross-regional programmes</w:t>
            </w:r>
            <w:r w:rsidR="000120DC">
              <w:t xml:space="preserve"> (indicative)</w:t>
            </w:r>
          </w:p>
        </w:tc>
        <w:tc>
          <w:tcPr>
            <w:tcW w:w="992" w:type="dxa"/>
            <w:tcBorders>
              <w:bottom w:val="single" w:sz="4" w:space="0" w:color="auto"/>
            </w:tcBorders>
          </w:tcPr>
          <w:p w:rsidR="004C0DB0" w:rsidRDefault="004C0DB0" w:rsidP="00DF7316">
            <w:r>
              <w:t>0.300</w:t>
            </w:r>
          </w:p>
        </w:tc>
        <w:tc>
          <w:tcPr>
            <w:tcW w:w="987" w:type="dxa"/>
            <w:tcBorders>
              <w:bottom w:val="single" w:sz="4" w:space="0" w:color="auto"/>
            </w:tcBorders>
          </w:tcPr>
          <w:p w:rsidR="004C0DB0" w:rsidRDefault="004C0DB0" w:rsidP="00DF7316"/>
        </w:tc>
        <w:tc>
          <w:tcPr>
            <w:tcW w:w="1418" w:type="dxa"/>
            <w:tcBorders>
              <w:bottom w:val="single" w:sz="4" w:space="0" w:color="auto"/>
            </w:tcBorders>
          </w:tcPr>
          <w:p w:rsidR="004C0DB0" w:rsidRDefault="004C0DB0" w:rsidP="00DF7316"/>
        </w:tc>
        <w:tc>
          <w:tcPr>
            <w:tcW w:w="1134" w:type="dxa"/>
            <w:tcBorders>
              <w:bottom w:val="single" w:sz="4" w:space="0" w:color="auto"/>
            </w:tcBorders>
          </w:tcPr>
          <w:p w:rsidR="004C0DB0" w:rsidRDefault="004C0DB0" w:rsidP="00DF7316"/>
        </w:tc>
      </w:tr>
      <w:tr w:rsidR="004C0DB0" w:rsidRPr="002532D4" w:rsidTr="000120DC">
        <w:tc>
          <w:tcPr>
            <w:tcW w:w="4820" w:type="dxa"/>
            <w:tcBorders>
              <w:top w:val="single" w:sz="4" w:space="0" w:color="auto"/>
            </w:tcBorders>
          </w:tcPr>
          <w:p w:rsidR="004C0DB0" w:rsidRDefault="004C0DB0" w:rsidP="00EA74B9">
            <w:pPr>
              <w:ind w:firstLine="318"/>
              <w:rPr>
                <w:b/>
              </w:rPr>
            </w:pPr>
            <w:r w:rsidRPr="002532D4">
              <w:rPr>
                <w:b/>
              </w:rPr>
              <w:t>Total</w:t>
            </w:r>
          </w:p>
          <w:p w:rsidR="000120DC" w:rsidRDefault="000120DC" w:rsidP="00EA74B9">
            <w:pPr>
              <w:ind w:firstLine="318"/>
              <w:rPr>
                <w:b/>
              </w:rPr>
            </w:pPr>
          </w:p>
          <w:p w:rsidR="004C0DB0" w:rsidRPr="002532D4" w:rsidRDefault="004C0DB0" w:rsidP="00EA74B9">
            <w:pPr>
              <w:ind w:firstLine="318"/>
              <w:rPr>
                <w:b/>
              </w:rPr>
            </w:pPr>
            <w:r>
              <w:rPr>
                <w:b/>
              </w:rPr>
              <w:t>Local allocations</w:t>
            </w:r>
          </w:p>
        </w:tc>
        <w:tc>
          <w:tcPr>
            <w:tcW w:w="992" w:type="dxa"/>
            <w:tcBorders>
              <w:top w:val="single" w:sz="4" w:space="0" w:color="auto"/>
            </w:tcBorders>
          </w:tcPr>
          <w:p w:rsidR="004C0DB0" w:rsidRPr="002532D4" w:rsidRDefault="004C0DB0" w:rsidP="00DF7316">
            <w:pPr>
              <w:rPr>
                <w:b/>
              </w:rPr>
            </w:pPr>
            <w:r>
              <w:rPr>
                <w:b/>
              </w:rPr>
              <w:t>0.654</w:t>
            </w:r>
          </w:p>
        </w:tc>
        <w:tc>
          <w:tcPr>
            <w:tcW w:w="987" w:type="dxa"/>
            <w:tcBorders>
              <w:top w:val="single" w:sz="4" w:space="0" w:color="auto"/>
            </w:tcBorders>
          </w:tcPr>
          <w:p w:rsidR="004C0DB0" w:rsidRPr="002532D4" w:rsidRDefault="004C0DB0" w:rsidP="00DF7316">
            <w:pPr>
              <w:rPr>
                <w:b/>
              </w:rPr>
            </w:pPr>
          </w:p>
        </w:tc>
        <w:tc>
          <w:tcPr>
            <w:tcW w:w="1418" w:type="dxa"/>
            <w:tcBorders>
              <w:top w:val="single" w:sz="4" w:space="0" w:color="auto"/>
            </w:tcBorders>
          </w:tcPr>
          <w:p w:rsidR="004C0DB0" w:rsidRPr="002532D4" w:rsidRDefault="004C0DB0" w:rsidP="00DF7316">
            <w:pPr>
              <w:rPr>
                <w:b/>
              </w:rPr>
            </w:pPr>
          </w:p>
        </w:tc>
        <w:tc>
          <w:tcPr>
            <w:tcW w:w="1134" w:type="dxa"/>
            <w:tcBorders>
              <w:top w:val="single" w:sz="4" w:space="0" w:color="auto"/>
            </w:tcBorders>
          </w:tcPr>
          <w:p w:rsidR="004C0DB0" w:rsidRPr="002532D4" w:rsidRDefault="004C0DB0" w:rsidP="00DF7316">
            <w:pPr>
              <w:rPr>
                <w:b/>
              </w:rPr>
            </w:pPr>
          </w:p>
        </w:tc>
      </w:tr>
      <w:tr w:rsidR="004C0DB0" w:rsidTr="000120DC">
        <w:tc>
          <w:tcPr>
            <w:tcW w:w="4820" w:type="dxa"/>
          </w:tcPr>
          <w:p w:rsidR="004C0DB0" w:rsidRDefault="004C0DB0" w:rsidP="00EA74B9">
            <w:pPr>
              <w:ind w:firstLine="318"/>
            </w:pPr>
            <w:r>
              <w:t>Net older people</w:t>
            </w:r>
          </w:p>
        </w:tc>
        <w:tc>
          <w:tcPr>
            <w:tcW w:w="992" w:type="dxa"/>
          </w:tcPr>
          <w:p w:rsidR="004C0DB0" w:rsidRDefault="004C0DB0" w:rsidP="00DF7316"/>
        </w:tc>
        <w:tc>
          <w:tcPr>
            <w:tcW w:w="987" w:type="dxa"/>
          </w:tcPr>
          <w:p w:rsidR="004C0DB0" w:rsidRDefault="004C0DB0" w:rsidP="00DF7316">
            <w:r>
              <w:t>1.839</w:t>
            </w:r>
          </w:p>
        </w:tc>
        <w:tc>
          <w:tcPr>
            <w:tcW w:w="1418" w:type="dxa"/>
          </w:tcPr>
          <w:p w:rsidR="004C0DB0" w:rsidRDefault="004C0DB0" w:rsidP="00DF7316">
            <w:r>
              <w:t>0.715</w:t>
            </w:r>
          </w:p>
        </w:tc>
        <w:tc>
          <w:tcPr>
            <w:tcW w:w="1134" w:type="dxa"/>
          </w:tcPr>
          <w:p w:rsidR="004C0DB0" w:rsidRDefault="004C0DB0" w:rsidP="00DF7316">
            <w:r>
              <w:t>1.133</w:t>
            </w:r>
          </w:p>
        </w:tc>
      </w:tr>
      <w:tr w:rsidR="004C0DB0" w:rsidTr="000120DC">
        <w:tc>
          <w:tcPr>
            <w:tcW w:w="4820" w:type="dxa"/>
            <w:tcBorders>
              <w:bottom w:val="single" w:sz="4" w:space="0" w:color="auto"/>
            </w:tcBorders>
          </w:tcPr>
          <w:p w:rsidR="00EA74B9" w:rsidRDefault="004C0DB0" w:rsidP="00EA74B9">
            <w:pPr>
              <w:ind w:firstLine="318"/>
            </w:pPr>
            <w:r>
              <w:t>Net learning disabilities/ complex</w:t>
            </w:r>
          </w:p>
          <w:p w:rsidR="004C0DB0" w:rsidRDefault="004C0DB0" w:rsidP="00EA74B9">
            <w:pPr>
              <w:ind w:firstLine="318"/>
            </w:pPr>
            <w:r>
              <w:t>needs</w:t>
            </w:r>
          </w:p>
        </w:tc>
        <w:tc>
          <w:tcPr>
            <w:tcW w:w="992" w:type="dxa"/>
            <w:tcBorders>
              <w:bottom w:val="single" w:sz="4" w:space="0" w:color="auto"/>
            </w:tcBorders>
          </w:tcPr>
          <w:p w:rsidR="004C0DB0" w:rsidRDefault="004C0DB0" w:rsidP="00DF7316"/>
        </w:tc>
        <w:tc>
          <w:tcPr>
            <w:tcW w:w="987" w:type="dxa"/>
            <w:tcBorders>
              <w:bottom w:val="single" w:sz="4" w:space="0" w:color="auto"/>
            </w:tcBorders>
          </w:tcPr>
          <w:p w:rsidR="004C0DB0" w:rsidRDefault="004C0DB0" w:rsidP="00DF7316">
            <w:r>
              <w:t>0.820</w:t>
            </w:r>
          </w:p>
        </w:tc>
        <w:tc>
          <w:tcPr>
            <w:tcW w:w="1418" w:type="dxa"/>
            <w:tcBorders>
              <w:bottom w:val="single" w:sz="4" w:space="0" w:color="auto"/>
            </w:tcBorders>
          </w:tcPr>
          <w:p w:rsidR="004C0DB0" w:rsidRDefault="004C0DB0" w:rsidP="00DF7316">
            <w:r>
              <w:t>0.319</w:t>
            </w:r>
          </w:p>
        </w:tc>
        <w:tc>
          <w:tcPr>
            <w:tcW w:w="1134" w:type="dxa"/>
            <w:tcBorders>
              <w:bottom w:val="single" w:sz="4" w:space="0" w:color="auto"/>
            </w:tcBorders>
          </w:tcPr>
          <w:p w:rsidR="004C0DB0" w:rsidRDefault="004C0DB0" w:rsidP="00DF7316">
            <w:r>
              <w:t>0.505</w:t>
            </w:r>
          </w:p>
        </w:tc>
      </w:tr>
      <w:tr w:rsidR="004C0DB0" w:rsidRPr="002532D4" w:rsidTr="000120DC">
        <w:tc>
          <w:tcPr>
            <w:tcW w:w="4820" w:type="dxa"/>
            <w:tcBorders>
              <w:top w:val="single" w:sz="4" w:space="0" w:color="auto"/>
            </w:tcBorders>
          </w:tcPr>
          <w:p w:rsidR="004C0DB0" w:rsidRPr="002532D4" w:rsidRDefault="004C0DB0" w:rsidP="00EA74B9">
            <w:pPr>
              <w:ind w:firstLine="318"/>
              <w:rPr>
                <w:b/>
              </w:rPr>
            </w:pPr>
            <w:r w:rsidRPr="002532D4">
              <w:rPr>
                <w:b/>
              </w:rPr>
              <w:t>Total</w:t>
            </w:r>
          </w:p>
        </w:tc>
        <w:tc>
          <w:tcPr>
            <w:tcW w:w="992" w:type="dxa"/>
            <w:tcBorders>
              <w:top w:val="single" w:sz="4" w:space="0" w:color="auto"/>
            </w:tcBorders>
          </w:tcPr>
          <w:p w:rsidR="004C0DB0" w:rsidRPr="002532D4" w:rsidRDefault="004C0DB0" w:rsidP="00DF7316">
            <w:pPr>
              <w:rPr>
                <w:b/>
              </w:rPr>
            </w:pPr>
          </w:p>
        </w:tc>
        <w:tc>
          <w:tcPr>
            <w:tcW w:w="987" w:type="dxa"/>
            <w:tcBorders>
              <w:top w:val="single" w:sz="4" w:space="0" w:color="auto"/>
            </w:tcBorders>
          </w:tcPr>
          <w:p w:rsidR="004C0DB0" w:rsidRPr="002532D4" w:rsidRDefault="004C0DB0" w:rsidP="00DF7316">
            <w:pPr>
              <w:rPr>
                <w:b/>
              </w:rPr>
            </w:pPr>
            <w:r>
              <w:rPr>
                <w:b/>
              </w:rPr>
              <w:t>2.659</w:t>
            </w:r>
          </w:p>
        </w:tc>
        <w:tc>
          <w:tcPr>
            <w:tcW w:w="1418" w:type="dxa"/>
            <w:tcBorders>
              <w:top w:val="single" w:sz="4" w:space="0" w:color="auto"/>
            </w:tcBorders>
          </w:tcPr>
          <w:p w:rsidR="004C0DB0" w:rsidRPr="002532D4" w:rsidRDefault="004C0DB0" w:rsidP="00DF7316">
            <w:pPr>
              <w:rPr>
                <w:b/>
              </w:rPr>
            </w:pPr>
            <w:r>
              <w:rPr>
                <w:b/>
              </w:rPr>
              <w:t>1.034</w:t>
            </w:r>
          </w:p>
        </w:tc>
        <w:tc>
          <w:tcPr>
            <w:tcW w:w="1134" w:type="dxa"/>
            <w:tcBorders>
              <w:top w:val="single" w:sz="4" w:space="0" w:color="auto"/>
            </w:tcBorders>
          </w:tcPr>
          <w:p w:rsidR="004C0DB0" w:rsidRPr="002532D4" w:rsidRDefault="004C0DB0" w:rsidP="00DF7316">
            <w:pPr>
              <w:rPr>
                <w:b/>
              </w:rPr>
            </w:pPr>
            <w:r>
              <w:rPr>
                <w:b/>
              </w:rPr>
              <w:t>1.638</w:t>
            </w:r>
            <w:r w:rsidRPr="002532D4">
              <w:rPr>
                <w:b/>
              </w:rPr>
              <w:t xml:space="preserve"> </w:t>
            </w:r>
          </w:p>
        </w:tc>
      </w:tr>
    </w:tbl>
    <w:p w:rsidR="004C0DB0" w:rsidRDefault="004C0DB0" w:rsidP="004C0DB0"/>
    <w:p w:rsidR="00CF3850" w:rsidRPr="00355B05" w:rsidRDefault="00413A4F" w:rsidP="00DE2EFA">
      <w:pPr>
        <w:pStyle w:val="ListParagraph"/>
        <w:numPr>
          <w:ilvl w:val="0"/>
          <w:numId w:val="10"/>
        </w:numPr>
        <w:ind w:left="284" w:hanging="426"/>
      </w:pPr>
      <w:r w:rsidRPr="00355B05">
        <w:t>The IPDB further also agreed</w:t>
      </w:r>
      <w:r w:rsidR="000120DC" w:rsidRPr="00355B05">
        <w:t xml:space="preserve"> that bids for cross-regional programmes </w:t>
      </w:r>
      <w:r w:rsidRPr="00355B05">
        <w:t xml:space="preserve">should </w:t>
      </w:r>
      <w:r w:rsidR="00CF3850" w:rsidRPr="00355B05">
        <w:t>be</w:t>
      </w:r>
      <w:r w:rsidR="000120DC" w:rsidRPr="00355B05">
        <w:t xml:space="preserve"> submitted </w:t>
      </w:r>
      <w:r w:rsidR="00CF3850" w:rsidRPr="00355B05">
        <w:t xml:space="preserve">via the Regional Collaboration Unit </w:t>
      </w:r>
      <w:r w:rsidR="000120DC" w:rsidRPr="00355B05">
        <w:t xml:space="preserve">for consideration by the RPB. </w:t>
      </w:r>
      <w:r w:rsidR="008B549C" w:rsidRPr="00355B05">
        <w:t>12</w:t>
      </w:r>
      <w:r w:rsidR="000120DC" w:rsidRPr="00355B05">
        <w:t xml:space="preserve"> bids have been received, the total value of which </w:t>
      </w:r>
      <w:r w:rsidR="00CF3850" w:rsidRPr="00355B05">
        <w:t xml:space="preserve">exceeds by some margin the indicative £300K allocation. </w:t>
      </w:r>
      <w:r w:rsidR="002C333D" w:rsidRPr="00355B05">
        <w:t>A process needs to be agreed for considering these bids as part of the Revenue Investment Plan (see below).</w:t>
      </w:r>
      <w:r w:rsidR="00CF3850" w:rsidRPr="00355B05">
        <w:t xml:space="preserve"> </w:t>
      </w:r>
    </w:p>
    <w:p w:rsidR="00FE42A2" w:rsidRPr="00DF7316" w:rsidRDefault="00FE42A2" w:rsidP="00D02028">
      <w:pPr>
        <w:pStyle w:val="ListParagraph"/>
        <w:ind w:left="284"/>
        <w:rPr>
          <w:highlight w:val="yellow"/>
        </w:rPr>
      </w:pPr>
    </w:p>
    <w:p w:rsidR="00D02028" w:rsidRPr="00355B05" w:rsidRDefault="00D02028" w:rsidP="00D02028">
      <w:pPr>
        <w:rPr>
          <w:b/>
        </w:rPr>
      </w:pPr>
      <w:r w:rsidRPr="00355B05">
        <w:rPr>
          <w:b/>
        </w:rPr>
        <w:t>Revenue investment plan</w:t>
      </w:r>
      <w:r w:rsidR="002C333D" w:rsidRPr="00355B05">
        <w:rPr>
          <w:b/>
        </w:rPr>
        <w:t xml:space="preserve"> and Capital Programme</w:t>
      </w:r>
    </w:p>
    <w:p w:rsidR="00E44931" w:rsidRPr="00355B05" w:rsidRDefault="00CF3850" w:rsidP="00E44931">
      <w:pPr>
        <w:pStyle w:val="ListParagraph"/>
        <w:numPr>
          <w:ilvl w:val="0"/>
          <w:numId w:val="10"/>
        </w:numPr>
        <w:ind w:left="142"/>
      </w:pPr>
      <w:r w:rsidRPr="00355B05">
        <w:t xml:space="preserve">Detailed local proposals have also been received from each local authority area and these </w:t>
      </w:r>
      <w:r w:rsidR="002C333D" w:rsidRPr="00355B05">
        <w:t>have been included in a draft Revenue Investment Plan which should be submitted to Welsh Government by 30 June</w:t>
      </w:r>
      <w:r w:rsidRPr="00355B05">
        <w:t xml:space="preserve">. </w:t>
      </w:r>
      <w:r w:rsidR="00D02028" w:rsidRPr="00355B05">
        <w:t>Once again, the RPB</w:t>
      </w:r>
      <w:r w:rsidRPr="00355B05">
        <w:t xml:space="preserve"> should note that</w:t>
      </w:r>
      <w:r w:rsidR="00355B05" w:rsidRPr="00355B05">
        <w:t xml:space="preserve"> in 2 of the 3 local authority areas</w:t>
      </w:r>
      <w:r w:rsidRPr="00355B05">
        <w:t xml:space="preserve"> proposed </w:t>
      </w:r>
      <w:r w:rsidR="00D02028" w:rsidRPr="00355B05">
        <w:t>investment</w:t>
      </w:r>
      <w:r w:rsidRPr="00355B05">
        <w:t xml:space="preserve"> </w:t>
      </w:r>
      <w:r w:rsidR="00355B05" w:rsidRPr="00355B05">
        <w:t xml:space="preserve">at this stage </w:t>
      </w:r>
      <w:r w:rsidRPr="00355B05">
        <w:t>exceed</w:t>
      </w:r>
      <w:r w:rsidR="00D02028" w:rsidRPr="00355B05">
        <w:t>s</w:t>
      </w:r>
      <w:r w:rsidRPr="00355B05">
        <w:t xml:space="preserve"> the funding available. Accordingly, </w:t>
      </w:r>
      <w:r w:rsidR="00355B05" w:rsidRPr="00355B05">
        <w:t>a process needs to be agreed for adjustment of the proposals to ensure that they</w:t>
      </w:r>
      <w:r w:rsidRPr="00355B05">
        <w:t xml:space="preserve"> fit within the funding envelope available, which might </w:t>
      </w:r>
      <w:r w:rsidR="00EA00AA">
        <w:t xml:space="preserve">need to </w:t>
      </w:r>
      <w:r w:rsidR="00D02028" w:rsidRPr="00355B05">
        <w:t>be further reduced</w:t>
      </w:r>
      <w:r w:rsidRPr="00355B05">
        <w:t xml:space="preserve"> to accommodate additional allocations to </w:t>
      </w:r>
      <w:r w:rsidR="00D02028" w:rsidRPr="00355B05">
        <w:t xml:space="preserve">agreed </w:t>
      </w:r>
      <w:r w:rsidR="00355B05" w:rsidRPr="00355B05">
        <w:t>cross-regional programmes, and signing these off on behalf of the Board</w:t>
      </w:r>
      <w:r w:rsidR="004D5B31" w:rsidRPr="00355B05">
        <w:t>.</w:t>
      </w:r>
    </w:p>
    <w:p w:rsidR="00E44931" w:rsidRDefault="00E44931" w:rsidP="00E44931">
      <w:pPr>
        <w:pStyle w:val="ListParagraph"/>
        <w:ind w:left="142"/>
      </w:pPr>
    </w:p>
    <w:p w:rsidR="00E44931" w:rsidRDefault="00D56772" w:rsidP="004C0DB0">
      <w:pPr>
        <w:pStyle w:val="ListParagraph"/>
        <w:numPr>
          <w:ilvl w:val="0"/>
          <w:numId w:val="10"/>
        </w:numPr>
        <w:ind w:left="142"/>
      </w:pPr>
      <w:r>
        <w:t xml:space="preserve">The ICF Guidance indicates that regions will have an indicative Capital allocation commensurate with last year’s funding. This may be adjusted upwards or </w:t>
      </w:r>
      <w:proofErr w:type="gramStart"/>
      <w:r>
        <w:t>downwards</w:t>
      </w:r>
      <w:proofErr w:type="gramEnd"/>
      <w:r>
        <w:t xml:space="preserve"> dependent upon submitted proposals.</w:t>
      </w:r>
    </w:p>
    <w:p w:rsidR="00E44931" w:rsidRDefault="00E44931" w:rsidP="00E44931">
      <w:pPr>
        <w:pStyle w:val="ListParagraph"/>
      </w:pPr>
    </w:p>
    <w:p w:rsidR="00D56772" w:rsidRDefault="00D56772" w:rsidP="004C0DB0">
      <w:pPr>
        <w:pStyle w:val="ListParagraph"/>
        <w:numPr>
          <w:ilvl w:val="0"/>
          <w:numId w:val="10"/>
        </w:numPr>
        <w:ind w:left="142"/>
      </w:pPr>
      <w:r>
        <w:t xml:space="preserve">Proposals have been </w:t>
      </w:r>
      <w:r w:rsidR="00E44931">
        <w:t xml:space="preserve">developed at local authority level on this basis and </w:t>
      </w:r>
      <w:r w:rsidR="00355B05">
        <w:t xml:space="preserve">have been </w:t>
      </w:r>
      <w:r w:rsidR="00E44931">
        <w:t xml:space="preserve">included </w:t>
      </w:r>
      <w:r w:rsidR="00355B05">
        <w:t xml:space="preserve">in a draft Capital Programme, which also needs to be finalised and </w:t>
      </w:r>
      <w:r w:rsidR="00EA00AA">
        <w:t>a process agreed for sign-off by the Board</w:t>
      </w:r>
      <w:bookmarkStart w:id="0" w:name="_GoBack"/>
      <w:bookmarkEnd w:id="0"/>
      <w:r w:rsidR="00E44931">
        <w:t xml:space="preserve">. Regional discussions are also planned to explore future opportunities for using capital funding over the remainder of the ICF </w:t>
      </w:r>
      <w:r w:rsidR="00355B05">
        <w:t xml:space="preserve">(up to the end of 2020-21) </w:t>
      </w:r>
      <w:r w:rsidR="00E44931">
        <w:t>to support large-scale, cross-regional initiatives. Such discussions will be convened shortly.</w:t>
      </w:r>
    </w:p>
    <w:p w:rsidR="004C0DB0" w:rsidRDefault="004C0DB0" w:rsidP="004C0DB0"/>
    <w:p w:rsidR="00ED7480" w:rsidRPr="00B14F00" w:rsidRDefault="00ED7480" w:rsidP="008E445E">
      <w:pPr>
        <w:pStyle w:val="ListParagraph"/>
        <w:ind w:left="360"/>
      </w:pPr>
    </w:p>
    <w:sectPr w:rsidR="00ED7480" w:rsidRPr="00B14F00" w:rsidSect="002332F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316" w:rsidRDefault="00DF7316" w:rsidP="00931B8A">
      <w:pPr>
        <w:spacing w:after="0"/>
      </w:pPr>
      <w:r>
        <w:separator/>
      </w:r>
    </w:p>
  </w:endnote>
  <w:endnote w:type="continuationSeparator" w:id="0">
    <w:p w:rsidR="00DF7316" w:rsidRDefault="00DF7316" w:rsidP="00931B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4085"/>
      <w:docPartObj>
        <w:docPartGallery w:val="Page Numbers (Bottom of Page)"/>
        <w:docPartUnique/>
      </w:docPartObj>
    </w:sdtPr>
    <w:sdtContent>
      <w:p w:rsidR="00DF7316" w:rsidRDefault="00DF7316">
        <w:pPr>
          <w:pStyle w:val="Footer"/>
          <w:jc w:val="right"/>
        </w:pPr>
        <w:r>
          <w:fldChar w:fldCharType="begin"/>
        </w:r>
        <w:r>
          <w:instrText xml:space="preserve"> PAGE   \* MERGEFORMAT </w:instrText>
        </w:r>
        <w:r>
          <w:fldChar w:fldCharType="separate"/>
        </w:r>
        <w:r w:rsidR="00EA00AA">
          <w:rPr>
            <w:noProof/>
          </w:rPr>
          <w:t>5</w:t>
        </w:r>
        <w:r>
          <w:rPr>
            <w:noProof/>
          </w:rPr>
          <w:fldChar w:fldCharType="end"/>
        </w:r>
      </w:p>
    </w:sdtContent>
  </w:sdt>
  <w:p w:rsidR="00DF7316" w:rsidRDefault="00DF7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316" w:rsidRDefault="00DF7316" w:rsidP="00931B8A">
      <w:pPr>
        <w:spacing w:after="0"/>
      </w:pPr>
      <w:r>
        <w:separator/>
      </w:r>
    </w:p>
  </w:footnote>
  <w:footnote w:type="continuationSeparator" w:id="0">
    <w:p w:rsidR="00DF7316" w:rsidRDefault="00DF7316" w:rsidP="00931B8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B7EDE"/>
    <w:multiLevelType w:val="hybridMultilevel"/>
    <w:tmpl w:val="D5720CF0"/>
    <w:lvl w:ilvl="0" w:tplc="3F44693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069D5"/>
    <w:multiLevelType w:val="hybridMultilevel"/>
    <w:tmpl w:val="BF70D3F2"/>
    <w:lvl w:ilvl="0" w:tplc="2B7C7EC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9B5EE8"/>
    <w:multiLevelType w:val="hybridMultilevel"/>
    <w:tmpl w:val="7E40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31F17"/>
    <w:multiLevelType w:val="hybridMultilevel"/>
    <w:tmpl w:val="C5B8A66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8337E8"/>
    <w:multiLevelType w:val="hybridMultilevel"/>
    <w:tmpl w:val="03C641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D38FD"/>
    <w:multiLevelType w:val="hybridMultilevel"/>
    <w:tmpl w:val="14AAFF7E"/>
    <w:lvl w:ilvl="0" w:tplc="CC0A5620">
      <w:start w:val="1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41326"/>
    <w:multiLevelType w:val="hybridMultilevel"/>
    <w:tmpl w:val="8BE68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D76529"/>
    <w:multiLevelType w:val="hybridMultilevel"/>
    <w:tmpl w:val="4E1AA7D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4C4F30"/>
    <w:multiLevelType w:val="hybridMultilevel"/>
    <w:tmpl w:val="31AC1D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33064F2"/>
    <w:multiLevelType w:val="hybridMultilevel"/>
    <w:tmpl w:val="1ED8A6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424FD1"/>
    <w:multiLevelType w:val="hybridMultilevel"/>
    <w:tmpl w:val="A350D9C2"/>
    <w:lvl w:ilvl="0" w:tplc="3514BC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8"/>
  </w:num>
  <w:num w:numId="3">
    <w:abstractNumId w:val="9"/>
  </w:num>
  <w:num w:numId="4">
    <w:abstractNumId w:val="6"/>
  </w:num>
  <w:num w:numId="5">
    <w:abstractNumId w:val="4"/>
  </w:num>
  <w:num w:numId="6">
    <w:abstractNumId w:val="3"/>
  </w:num>
  <w:num w:numId="7">
    <w:abstractNumId w:val="2"/>
  </w:num>
  <w:num w:numId="8">
    <w:abstractNumId w:val="7"/>
  </w:num>
  <w:num w:numId="9">
    <w:abstractNumId w:val="5"/>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63"/>
    <w:rsid w:val="000120DC"/>
    <w:rsid w:val="00092F4A"/>
    <w:rsid w:val="00097AAE"/>
    <w:rsid w:val="000C404A"/>
    <w:rsid w:val="000D0DE6"/>
    <w:rsid w:val="000F10BC"/>
    <w:rsid w:val="00104F51"/>
    <w:rsid w:val="00142DAF"/>
    <w:rsid w:val="00196275"/>
    <w:rsid w:val="001A05A8"/>
    <w:rsid w:val="001B5ECE"/>
    <w:rsid w:val="001D56D2"/>
    <w:rsid w:val="001F66D0"/>
    <w:rsid w:val="00201E6F"/>
    <w:rsid w:val="00217780"/>
    <w:rsid w:val="002332FF"/>
    <w:rsid w:val="00294004"/>
    <w:rsid w:val="002C333D"/>
    <w:rsid w:val="002C76CC"/>
    <w:rsid w:val="002D7E4F"/>
    <w:rsid w:val="002E2725"/>
    <w:rsid w:val="002E67AA"/>
    <w:rsid w:val="00301B17"/>
    <w:rsid w:val="0031321A"/>
    <w:rsid w:val="00316305"/>
    <w:rsid w:val="00321D7A"/>
    <w:rsid w:val="00331EBE"/>
    <w:rsid w:val="00350D2E"/>
    <w:rsid w:val="0035190B"/>
    <w:rsid w:val="00355B05"/>
    <w:rsid w:val="0036009D"/>
    <w:rsid w:val="0036790C"/>
    <w:rsid w:val="00367B14"/>
    <w:rsid w:val="00375614"/>
    <w:rsid w:val="00396DE0"/>
    <w:rsid w:val="003C2278"/>
    <w:rsid w:val="003E1429"/>
    <w:rsid w:val="003E2A25"/>
    <w:rsid w:val="003F6895"/>
    <w:rsid w:val="003F73F1"/>
    <w:rsid w:val="00413A4F"/>
    <w:rsid w:val="00431D83"/>
    <w:rsid w:val="00451839"/>
    <w:rsid w:val="004835E9"/>
    <w:rsid w:val="004A43C4"/>
    <w:rsid w:val="004A56AB"/>
    <w:rsid w:val="004C0DB0"/>
    <w:rsid w:val="004C356A"/>
    <w:rsid w:val="004D5B31"/>
    <w:rsid w:val="004F50A0"/>
    <w:rsid w:val="00530E9D"/>
    <w:rsid w:val="0053348A"/>
    <w:rsid w:val="00536486"/>
    <w:rsid w:val="00573997"/>
    <w:rsid w:val="005A313E"/>
    <w:rsid w:val="005B173E"/>
    <w:rsid w:val="005B5EC4"/>
    <w:rsid w:val="00601375"/>
    <w:rsid w:val="006206C9"/>
    <w:rsid w:val="006258C8"/>
    <w:rsid w:val="006434BC"/>
    <w:rsid w:val="006773A7"/>
    <w:rsid w:val="006B23F2"/>
    <w:rsid w:val="006B3C99"/>
    <w:rsid w:val="006C1763"/>
    <w:rsid w:val="006C1917"/>
    <w:rsid w:val="006C4AC3"/>
    <w:rsid w:val="006C7724"/>
    <w:rsid w:val="006E6580"/>
    <w:rsid w:val="006F1B93"/>
    <w:rsid w:val="00705FA4"/>
    <w:rsid w:val="007816F8"/>
    <w:rsid w:val="0078247B"/>
    <w:rsid w:val="007F7828"/>
    <w:rsid w:val="008011ED"/>
    <w:rsid w:val="00814952"/>
    <w:rsid w:val="00836960"/>
    <w:rsid w:val="00837BB1"/>
    <w:rsid w:val="00860A62"/>
    <w:rsid w:val="0086557E"/>
    <w:rsid w:val="008A3195"/>
    <w:rsid w:val="008B549C"/>
    <w:rsid w:val="008E21CE"/>
    <w:rsid w:val="008E445E"/>
    <w:rsid w:val="009178A2"/>
    <w:rsid w:val="00924641"/>
    <w:rsid w:val="00931B8A"/>
    <w:rsid w:val="00974DD1"/>
    <w:rsid w:val="009F2BEC"/>
    <w:rsid w:val="00A42892"/>
    <w:rsid w:val="00A4476B"/>
    <w:rsid w:val="00A45990"/>
    <w:rsid w:val="00A60FD4"/>
    <w:rsid w:val="00A6796D"/>
    <w:rsid w:val="00A874E2"/>
    <w:rsid w:val="00A94757"/>
    <w:rsid w:val="00AD7999"/>
    <w:rsid w:val="00AE711D"/>
    <w:rsid w:val="00AF0207"/>
    <w:rsid w:val="00AF4A1D"/>
    <w:rsid w:val="00B14F00"/>
    <w:rsid w:val="00B24B6D"/>
    <w:rsid w:val="00B34EBB"/>
    <w:rsid w:val="00B52DEE"/>
    <w:rsid w:val="00B5521A"/>
    <w:rsid w:val="00B64B2C"/>
    <w:rsid w:val="00B7177A"/>
    <w:rsid w:val="00B95C7C"/>
    <w:rsid w:val="00BA6566"/>
    <w:rsid w:val="00BB2A5F"/>
    <w:rsid w:val="00BC1DE0"/>
    <w:rsid w:val="00BC5FD6"/>
    <w:rsid w:val="00C1256F"/>
    <w:rsid w:val="00C2171D"/>
    <w:rsid w:val="00C27993"/>
    <w:rsid w:val="00C36EB0"/>
    <w:rsid w:val="00C67B1A"/>
    <w:rsid w:val="00CF3850"/>
    <w:rsid w:val="00D02028"/>
    <w:rsid w:val="00D47266"/>
    <w:rsid w:val="00D56772"/>
    <w:rsid w:val="00D85200"/>
    <w:rsid w:val="00DE2EFA"/>
    <w:rsid w:val="00DF170B"/>
    <w:rsid w:val="00DF7316"/>
    <w:rsid w:val="00E27631"/>
    <w:rsid w:val="00E35AE5"/>
    <w:rsid w:val="00E44931"/>
    <w:rsid w:val="00E603CA"/>
    <w:rsid w:val="00EA00AA"/>
    <w:rsid w:val="00EA74B9"/>
    <w:rsid w:val="00ED7480"/>
    <w:rsid w:val="00EE40A4"/>
    <w:rsid w:val="00F002AA"/>
    <w:rsid w:val="00F248E8"/>
    <w:rsid w:val="00F27C7A"/>
    <w:rsid w:val="00F31CC5"/>
    <w:rsid w:val="00F70DBD"/>
    <w:rsid w:val="00F756DF"/>
    <w:rsid w:val="00F80352"/>
    <w:rsid w:val="00F83060"/>
    <w:rsid w:val="00FC2966"/>
    <w:rsid w:val="00FE2F0D"/>
    <w:rsid w:val="00FE4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2F5FE-70E8-4C9F-B2C4-85030EFA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763"/>
  </w:style>
  <w:style w:type="paragraph" w:styleId="Heading1">
    <w:name w:val="heading 1"/>
    <w:basedOn w:val="Normal"/>
    <w:next w:val="Normal"/>
    <w:link w:val="Heading1Char"/>
    <w:qFormat/>
    <w:rsid w:val="006C1763"/>
    <w:pPr>
      <w:keepNext/>
      <w:spacing w:after="0"/>
      <w:jc w:val="both"/>
      <w:outlineLvl w:val="0"/>
    </w:pPr>
    <w:rPr>
      <w:rFonts w:ascii="Arial" w:eastAsia="Times New Roman" w:hAnsi="Arial" w:cs="Times New Roman"/>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763"/>
    <w:rPr>
      <w:rFonts w:ascii="Arial" w:eastAsia="Times New Roman" w:hAnsi="Arial" w:cs="Times New Roman"/>
      <w:b/>
      <w:sz w:val="22"/>
      <w:szCs w:val="20"/>
      <w:lang w:eastAsia="en-GB"/>
    </w:rPr>
  </w:style>
  <w:style w:type="paragraph" w:styleId="ListParagraph">
    <w:name w:val="List Paragraph"/>
    <w:basedOn w:val="Normal"/>
    <w:uiPriority w:val="34"/>
    <w:qFormat/>
    <w:rsid w:val="006C1763"/>
    <w:pPr>
      <w:spacing w:after="0"/>
      <w:ind w:left="720"/>
      <w:contextualSpacing/>
    </w:pPr>
  </w:style>
  <w:style w:type="paragraph" w:styleId="Header">
    <w:name w:val="header"/>
    <w:basedOn w:val="Normal"/>
    <w:link w:val="HeaderChar"/>
    <w:uiPriority w:val="99"/>
    <w:semiHidden/>
    <w:unhideWhenUsed/>
    <w:rsid w:val="00931B8A"/>
    <w:pPr>
      <w:tabs>
        <w:tab w:val="center" w:pos="4513"/>
        <w:tab w:val="right" w:pos="9026"/>
      </w:tabs>
      <w:spacing w:after="0"/>
    </w:pPr>
  </w:style>
  <w:style w:type="character" w:customStyle="1" w:styleId="HeaderChar">
    <w:name w:val="Header Char"/>
    <w:basedOn w:val="DefaultParagraphFont"/>
    <w:link w:val="Header"/>
    <w:uiPriority w:val="99"/>
    <w:semiHidden/>
    <w:rsid w:val="00931B8A"/>
  </w:style>
  <w:style w:type="paragraph" w:styleId="Footer">
    <w:name w:val="footer"/>
    <w:basedOn w:val="Normal"/>
    <w:link w:val="FooterChar"/>
    <w:uiPriority w:val="99"/>
    <w:unhideWhenUsed/>
    <w:rsid w:val="00931B8A"/>
    <w:pPr>
      <w:tabs>
        <w:tab w:val="center" w:pos="4513"/>
        <w:tab w:val="right" w:pos="9026"/>
      </w:tabs>
      <w:spacing w:after="0"/>
    </w:pPr>
  </w:style>
  <w:style w:type="character" w:customStyle="1" w:styleId="FooterChar">
    <w:name w:val="Footer Char"/>
    <w:basedOn w:val="DefaultParagraphFont"/>
    <w:link w:val="Footer"/>
    <w:uiPriority w:val="99"/>
    <w:rsid w:val="00931B8A"/>
  </w:style>
  <w:style w:type="table" w:styleId="TableGrid">
    <w:name w:val="Table Grid"/>
    <w:basedOn w:val="TableNormal"/>
    <w:uiPriority w:val="39"/>
    <w:rsid w:val="00F70DB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2A25"/>
    <w:pPr>
      <w:spacing w:before="100" w:beforeAutospacing="1" w:after="100" w:afterAutospacing="1"/>
    </w:pPr>
    <w:rPr>
      <w:rFonts w:ascii="Arial" w:eastAsia="Calibri" w:hAnsi="Arial" w:cs="Times New Roman"/>
      <w:lang w:val="en-US" w:eastAsia="zh-CN"/>
    </w:rPr>
  </w:style>
  <w:style w:type="character" w:styleId="Strong">
    <w:name w:val="Strong"/>
    <w:uiPriority w:val="22"/>
    <w:qFormat/>
    <w:rsid w:val="003E2A25"/>
    <w:rPr>
      <w:b/>
      <w:bCs/>
    </w:rPr>
  </w:style>
  <w:style w:type="paragraph" w:styleId="CommentText">
    <w:name w:val="annotation text"/>
    <w:basedOn w:val="Normal"/>
    <w:link w:val="CommentTextChar"/>
    <w:uiPriority w:val="99"/>
    <w:semiHidden/>
    <w:rsid w:val="00573997"/>
    <w:pPr>
      <w:spacing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7399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01B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MJPalfreman</dc:creator>
  <cp:lastModifiedBy>Martyn J Palfreman</cp:lastModifiedBy>
  <cp:revision>3</cp:revision>
  <cp:lastPrinted>2017-05-12T12:10:00Z</cp:lastPrinted>
  <dcterms:created xsi:type="dcterms:W3CDTF">2017-05-18T11:52:00Z</dcterms:created>
  <dcterms:modified xsi:type="dcterms:W3CDTF">2017-05-18T12:49:00Z</dcterms:modified>
</cp:coreProperties>
</file>