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160" w:type="dxa"/>
        <w:tblLayout w:type="fixed"/>
        <w:tblLook w:val="0000" w:firstRow="0" w:lastRow="0" w:firstColumn="0" w:lastColumn="0" w:noHBand="0" w:noVBand="0"/>
      </w:tblPr>
      <w:tblGrid>
        <w:gridCol w:w="5920"/>
        <w:gridCol w:w="3240"/>
      </w:tblGrid>
      <w:tr w:rsidR="00DD5515" w:rsidRPr="00DB7C1C" w:rsidTr="009F2260">
        <w:tc>
          <w:tcPr>
            <w:tcW w:w="5920" w:type="dxa"/>
          </w:tcPr>
          <w:p w:rsidR="00DD5515" w:rsidRDefault="00DD5515" w:rsidP="009F2260">
            <w:pPr>
              <w:pStyle w:val="Heading1"/>
              <w:ind w:right="45"/>
              <w:jc w:val="left"/>
              <w:rPr>
                <w:rFonts w:ascii="Tahoma" w:hAnsi="Tahoma" w:cs="Tahoma"/>
                <w:sz w:val="30"/>
              </w:rPr>
            </w:pPr>
            <w:r>
              <w:rPr>
                <w:rFonts w:ascii="Tahoma" w:hAnsi="Tahoma" w:cs="Tahoma"/>
                <w:sz w:val="30"/>
              </w:rPr>
              <w:t>WEST WALES REGIONAL PARTNERSHIP BOARD</w:t>
            </w:r>
          </w:p>
          <w:p w:rsidR="00DD5515" w:rsidRPr="00702A35" w:rsidRDefault="00DD5515" w:rsidP="009F2260"/>
        </w:tc>
        <w:tc>
          <w:tcPr>
            <w:tcW w:w="3240" w:type="dxa"/>
          </w:tcPr>
          <w:p w:rsidR="00DD5515" w:rsidRPr="00DB7C1C" w:rsidRDefault="00DD5515" w:rsidP="007E0356">
            <w:pPr>
              <w:pStyle w:val="Heading1"/>
              <w:ind w:right="45"/>
              <w:jc w:val="right"/>
              <w:rPr>
                <w:rFonts w:ascii="Tahoma" w:hAnsi="Tahoma" w:cs="Tahoma"/>
                <w:sz w:val="28"/>
              </w:rPr>
            </w:pPr>
            <w:r w:rsidRPr="00DB7C1C">
              <w:rPr>
                <w:rFonts w:ascii="Tahoma" w:hAnsi="Tahoma" w:cs="Tahoma"/>
                <w:sz w:val="30"/>
              </w:rPr>
              <w:t>Item</w:t>
            </w:r>
            <w:r>
              <w:rPr>
                <w:rFonts w:ascii="Tahoma" w:hAnsi="Tahoma" w:cs="Tahoma"/>
                <w:sz w:val="30"/>
              </w:rPr>
              <w:t xml:space="preserve"> </w:t>
            </w:r>
            <w:r w:rsidR="007E0356">
              <w:rPr>
                <w:rFonts w:ascii="Tahoma" w:hAnsi="Tahoma" w:cs="Tahoma"/>
                <w:sz w:val="30"/>
              </w:rPr>
              <w:t>5</w:t>
            </w:r>
          </w:p>
        </w:tc>
      </w:tr>
    </w:tbl>
    <w:p w:rsidR="00DD5515" w:rsidRPr="00DB7C1C" w:rsidRDefault="005E29B3" w:rsidP="00DD5515">
      <w:pPr>
        <w:pStyle w:val="Heading1"/>
        <w:pBdr>
          <w:bottom w:val="single" w:sz="12" w:space="7" w:color="auto"/>
        </w:pBdr>
        <w:ind w:right="45"/>
        <w:rPr>
          <w:rFonts w:ascii="Tahoma" w:hAnsi="Tahoma" w:cs="Tahoma"/>
          <w:b w:val="0"/>
          <w:sz w:val="32"/>
        </w:rPr>
      </w:pPr>
      <w:r>
        <w:rPr>
          <w:rFonts w:ascii="Tahoma" w:hAnsi="Tahoma" w:cs="Tahoma"/>
          <w:b w:val="0"/>
          <w:sz w:val="28"/>
        </w:rPr>
        <w:t>8 DECEMBER</w:t>
      </w:r>
      <w:r w:rsidR="00DD5515">
        <w:rPr>
          <w:rFonts w:ascii="Tahoma" w:hAnsi="Tahoma" w:cs="Tahoma"/>
          <w:b w:val="0"/>
          <w:sz w:val="28"/>
        </w:rPr>
        <w:t xml:space="preserve"> 2017</w:t>
      </w:r>
    </w:p>
    <w:p w:rsidR="00DD5515" w:rsidRDefault="007E0356" w:rsidP="00DD5515">
      <w:pPr>
        <w:rPr>
          <w:rFonts w:ascii="Tahoma" w:hAnsi="Tahoma" w:cs="Tahoma"/>
          <w:b/>
          <w:sz w:val="28"/>
          <w:szCs w:val="28"/>
        </w:rPr>
      </w:pPr>
      <w:r>
        <w:rPr>
          <w:rFonts w:ascii="Tahoma" w:hAnsi="Tahoma" w:cs="Tahoma"/>
          <w:b/>
          <w:sz w:val="28"/>
          <w:szCs w:val="28"/>
        </w:rPr>
        <w:t>Integrated Care Fund: Quarter 2 Summary and Arrangements for 2018-19</w:t>
      </w:r>
    </w:p>
    <w:p w:rsidR="00DD5515" w:rsidRPr="00DD5515" w:rsidRDefault="00DD5515" w:rsidP="00DD5515">
      <w:pPr>
        <w:rPr>
          <w:rFonts w:ascii="Tahoma" w:hAnsi="Tahoma" w:cs="Tahoma"/>
          <w:b/>
          <w:sz w:val="28"/>
          <w:szCs w:val="28"/>
        </w:rPr>
      </w:pPr>
    </w:p>
    <w:tbl>
      <w:tblPr>
        <w:tblStyle w:val="TableGrid"/>
        <w:tblW w:w="0" w:type="auto"/>
        <w:tblLook w:val="04A0" w:firstRow="1" w:lastRow="0" w:firstColumn="1" w:lastColumn="0" w:noHBand="0" w:noVBand="1"/>
      </w:tblPr>
      <w:tblGrid>
        <w:gridCol w:w="9016"/>
      </w:tblGrid>
      <w:tr w:rsidR="00DD5515" w:rsidTr="009F2260">
        <w:tc>
          <w:tcPr>
            <w:tcW w:w="9016" w:type="dxa"/>
          </w:tcPr>
          <w:p w:rsidR="00DD5515" w:rsidRDefault="007E0356" w:rsidP="009F2260">
            <w:pPr>
              <w:contextualSpacing/>
              <w:rPr>
                <w:rFonts w:ascii="Tahoma" w:hAnsi="Tahoma" w:cs="Tahoma"/>
                <w:b/>
                <w:sz w:val="24"/>
                <w:szCs w:val="24"/>
              </w:rPr>
            </w:pPr>
            <w:r>
              <w:rPr>
                <w:rFonts w:ascii="Tahoma" w:hAnsi="Tahoma" w:cs="Tahoma"/>
                <w:b/>
                <w:sz w:val="24"/>
                <w:szCs w:val="24"/>
              </w:rPr>
              <w:t>Summary of report and key issues</w:t>
            </w:r>
          </w:p>
          <w:p w:rsidR="007E0356" w:rsidRDefault="007E0356" w:rsidP="009F2260">
            <w:pPr>
              <w:contextualSpacing/>
              <w:rPr>
                <w:rFonts w:ascii="Tahoma" w:hAnsi="Tahoma" w:cs="Tahoma"/>
                <w:b/>
                <w:sz w:val="24"/>
                <w:szCs w:val="24"/>
              </w:rPr>
            </w:pPr>
          </w:p>
          <w:p w:rsidR="007E0356" w:rsidRPr="007E0356" w:rsidRDefault="007E0356" w:rsidP="007E0356">
            <w:pPr>
              <w:pStyle w:val="ListParagraph"/>
              <w:numPr>
                <w:ilvl w:val="0"/>
                <w:numId w:val="27"/>
              </w:numPr>
              <w:contextualSpacing/>
              <w:rPr>
                <w:rFonts w:ascii="Tahoma" w:hAnsi="Tahoma" w:cs="Tahoma"/>
                <w:sz w:val="24"/>
                <w:szCs w:val="24"/>
              </w:rPr>
            </w:pPr>
            <w:r w:rsidRPr="007E0356">
              <w:rPr>
                <w:rFonts w:ascii="Tahoma" w:hAnsi="Tahoma" w:cs="Tahoma"/>
                <w:sz w:val="24"/>
                <w:szCs w:val="24"/>
              </w:rPr>
              <w:t>West Wales has been allocated £</w:t>
            </w:r>
            <w:r w:rsidR="00874EF1">
              <w:rPr>
                <w:rFonts w:ascii="Tahoma" w:hAnsi="Tahoma" w:cs="Tahoma"/>
                <w:sz w:val="24"/>
                <w:szCs w:val="24"/>
              </w:rPr>
              <w:t>1.3m Capital and £6.5</w:t>
            </w:r>
            <w:r w:rsidRPr="007E0356">
              <w:rPr>
                <w:rFonts w:ascii="Tahoma" w:hAnsi="Tahoma" w:cs="Tahoma"/>
                <w:sz w:val="24"/>
                <w:szCs w:val="24"/>
              </w:rPr>
              <w:t>m Revenue through the Welsh Government’s Integrated Care Fund (ICF) in 2017-18</w:t>
            </w:r>
          </w:p>
          <w:p w:rsidR="007E0356" w:rsidRPr="007E0356" w:rsidRDefault="007E0356" w:rsidP="007E0356">
            <w:pPr>
              <w:pStyle w:val="ListParagraph"/>
              <w:numPr>
                <w:ilvl w:val="0"/>
                <w:numId w:val="27"/>
              </w:numPr>
              <w:contextualSpacing/>
              <w:rPr>
                <w:rFonts w:ascii="Tahoma" w:hAnsi="Tahoma" w:cs="Tahoma"/>
                <w:sz w:val="24"/>
                <w:szCs w:val="24"/>
              </w:rPr>
            </w:pPr>
            <w:r w:rsidRPr="007E0356">
              <w:rPr>
                <w:rFonts w:ascii="Tahoma" w:hAnsi="Tahoma" w:cs="Tahoma"/>
                <w:sz w:val="24"/>
                <w:szCs w:val="24"/>
              </w:rPr>
              <w:t>The RPB approved Regional and Capital Investment Plans for the ICF in May 2017 and received a progress report for Quarter 1 in July.</w:t>
            </w:r>
          </w:p>
          <w:p w:rsidR="007E0356" w:rsidRPr="007E0356" w:rsidRDefault="007E0356" w:rsidP="007E0356">
            <w:pPr>
              <w:pStyle w:val="ListParagraph"/>
              <w:numPr>
                <w:ilvl w:val="0"/>
                <w:numId w:val="27"/>
              </w:numPr>
              <w:contextualSpacing/>
              <w:rPr>
                <w:rFonts w:ascii="Tahoma" w:hAnsi="Tahoma" w:cs="Tahoma"/>
                <w:sz w:val="24"/>
                <w:szCs w:val="24"/>
              </w:rPr>
            </w:pPr>
            <w:r w:rsidRPr="007E0356">
              <w:rPr>
                <w:rFonts w:ascii="Tahoma" w:hAnsi="Tahoma" w:cs="Tahoma"/>
                <w:sz w:val="24"/>
                <w:szCs w:val="24"/>
              </w:rPr>
              <w:t>A summary report for Quarter 2 is attached as Appendix 1.</w:t>
            </w:r>
          </w:p>
          <w:p w:rsidR="007E0356" w:rsidRPr="007E0356" w:rsidRDefault="007E0356" w:rsidP="007E0356">
            <w:pPr>
              <w:pStyle w:val="ListParagraph"/>
              <w:numPr>
                <w:ilvl w:val="0"/>
                <w:numId w:val="27"/>
              </w:numPr>
              <w:contextualSpacing/>
              <w:rPr>
                <w:rFonts w:ascii="Tahoma" w:hAnsi="Tahoma" w:cs="Tahoma"/>
                <w:sz w:val="24"/>
                <w:szCs w:val="24"/>
              </w:rPr>
            </w:pPr>
            <w:r w:rsidRPr="007E0356">
              <w:rPr>
                <w:rFonts w:ascii="Tahoma" w:hAnsi="Tahoma" w:cs="Tahoma"/>
                <w:sz w:val="24"/>
                <w:szCs w:val="24"/>
              </w:rPr>
              <w:t>ICF is expected to continue at current levels and with existing funding conditions until 20</w:t>
            </w:r>
            <w:r w:rsidR="00874EF1">
              <w:rPr>
                <w:rFonts w:ascii="Tahoma" w:hAnsi="Tahoma" w:cs="Tahoma"/>
                <w:sz w:val="24"/>
                <w:szCs w:val="24"/>
              </w:rPr>
              <w:t>2</w:t>
            </w:r>
            <w:r w:rsidRPr="007E0356">
              <w:rPr>
                <w:rFonts w:ascii="Tahoma" w:hAnsi="Tahoma" w:cs="Tahoma"/>
                <w:sz w:val="24"/>
                <w:szCs w:val="24"/>
              </w:rPr>
              <w:t>0-21. Additional Capital funding will also be available in future years.</w:t>
            </w:r>
          </w:p>
          <w:p w:rsidR="007E0356" w:rsidRPr="007E0356" w:rsidRDefault="007E0356" w:rsidP="007E0356">
            <w:pPr>
              <w:pStyle w:val="ListParagraph"/>
              <w:numPr>
                <w:ilvl w:val="0"/>
                <w:numId w:val="27"/>
              </w:numPr>
              <w:contextualSpacing/>
              <w:rPr>
                <w:rFonts w:ascii="Tahoma" w:hAnsi="Tahoma" w:cs="Tahoma"/>
                <w:sz w:val="24"/>
                <w:szCs w:val="24"/>
              </w:rPr>
            </w:pPr>
            <w:r w:rsidRPr="007E0356">
              <w:rPr>
                <w:rFonts w:ascii="Tahoma" w:hAnsi="Tahoma" w:cs="Tahoma"/>
                <w:sz w:val="24"/>
                <w:szCs w:val="24"/>
              </w:rPr>
              <w:t>This report propose</w:t>
            </w:r>
            <w:r w:rsidR="00874EF1">
              <w:rPr>
                <w:rFonts w:ascii="Tahoma" w:hAnsi="Tahoma" w:cs="Tahoma"/>
                <w:sz w:val="24"/>
                <w:szCs w:val="24"/>
              </w:rPr>
              <w:t xml:space="preserve">s </w:t>
            </w:r>
            <w:r w:rsidRPr="007E0356">
              <w:rPr>
                <w:rFonts w:ascii="Tahoma" w:hAnsi="Tahoma" w:cs="Tahoma"/>
                <w:sz w:val="24"/>
                <w:szCs w:val="24"/>
              </w:rPr>
              <w:t xml:space="preserve">arrangements for developing and agreeing the 2018-19 ICF programme, </w:t>
            </w:r>
            <w:r w:rsidR="00874EF1">
              <w:rPr>
                <w:rFonts w:ascii="Tahoma" w:hAnsi="Tahoma" w:cs="Tahoma"/>
                <w:sz w:val="24"/>
                <w:szCs w:val="24"/>
              </w:rPr>
              <w:t>addressing</w:t>
            </w:r>
            <w:r w:rsidRPr="007E0356">
              <w:rPr>
                <w:rFonts w:ascii="Tahoma" w:hAnsi="Tahoma" w:cs="Tahoma"/>
                <w:sz w:val="24"/>
                <w:szCs w:val="24"/>
              </w:rPr>
              <w:t xml:space="preserve"> specific concerns raised by the RPB in May 2017.</w:t>
            </w:r>
          </w:p>
          <w:p w:rsidR="007E0356" w:rsidRDefault="007E0356" w:rsidP="009F2260">
            <w:pPr>
              <w:contextualSpacing/>
              <w:rPr>
                <w:rFonts w:ascii="Tahoma" w:hAnsi="Tahoma" w:cs="Tahoma"/>
                <w:b/>
                <w:sz w:val="24"/>
                <w:szCs w:val="24"/>
              </w:rPr>
            </w:pPr>
          </w:p>
          <w:p w:rsidR="007E0356" w:rsidRPr="008909E2" w:rsidRDefault="007E0356" w:rsidP="009F2260">
            <w:pPr>
              <w:contextualSpacing/>
              <w:rPr>
                <w:rFonts w:ascii="Tahoma" w:hAnsi="Tahoma" w:cs="Tahoma"/>
                <w:b/>
                <w:sz w:val="24"/>
                <w:szCs w:val="24"/>
              </w:rPr>
            </w:pPr>
            <w:r>
              <w:rPr>
                <w:rFonts w:ascii="Tahoma" w:hAnsi="Tahoma" w:cs="Tahoma"/>
                <w:b/>
                <w:sz w:val="24"/>
                <w:szCs w:val="24"/>
              </w:rPr>
              <w:t xml:space="preserve">Recommendations: </w:t>
            </w:r>
          </w:p>
          <w:p w:rsidR="00DD5515" w:rsidRPr="008909E2" w:rsidRDefault="00DD5515" w:rsidP="009F2260">
            <w:pPr>
              <w:contextualSpacing/>
              <w:rPr>
                <w:rFonts w:ascii="Tahoma" w:hAnsi="Tahoma" w:cs="Tahoma"/>
                <w:sz w:val="24"/>
                <w:szCs w:val="24"/>
              </w:rPr>
            </w:pPr>
          </w:p>
          <w:p w:rsidR="00DD5515" w:rsidRPr="008909E2" w:rsidRDefault="00DD5515" w:rsidP="009F2260">
            <w:pPr>
              <w:contextualSpacing/>
              <w:rPr>
                <w:rFonts w:ascii="Tahoma" w:hAnsi="Tahoma" w:cs="Tahoma"/>
                <w:sz w:val="24"/>
                <w:szCs w:val="24"/>
              </w:rPr>
            </w:pPr>
            <w:r w:rsidRPr="008909E2">
              <w:rPr>
                <w:rFonts w:ascii="Tahoma" w:hAnsi="Tahoma" w:cs="Tahoma"/>
                <w:sz w:val="24"/>
                <w:szCs w:val="24"/>
              </w:rPr>
              <w:t>That the RPB:</w:t>
            </w:r>
          </w:p>
          <w:p w:rsidR="00DD5515" w:rsidRPr="008909E2" w:rsidRDefault="00DD5515" w:rsidP="009F2260">
            <w:pPr>
              <w:contextualSpacing/>
              <w:rPr>
                <w:rFonts w:ascii="Tahoma" w:hAnsi="Tahoma" w:cs="Tahoma"/>
                <w:sz w:val="24"/>
                <w:szCs w:val="24"/>
              </w:rPr>
            </w:pPr>
          </w:p>
          <w:p w:rsidR="00A75E86" w:rsidRDefault="007E0356" w:rsidP="00A75E86">
            <w:pPr>
              <w:pStyle w:val="ListParagraph"/>
              <w:numPr>
                <w:ilvl w:val="0"/>
                <w:numId w:val="18"/>
              </w:numPr>
              <w:contextualSpacing/>
              <w:rPr>
                <w:rFonts w:ascii="Tahoma" w:hAnsi="Tahoma" w:cs="Tahoma"/>
                <w:sz w:val="24"/>
                <w:szCs w:val="24"/>
              </w:rPr>
            </w:pPr>
            <w:r>
              <w:rPr>
                <w:rFonts w:ascii="Tahoma" w:hAnsi="Tahoma" w:cs="Tahoma"/>
                <w:sz w:val="24"/>
                <w:szCs w:val="24"/>
              </w:rPr>
              <w:t>Notes the summary report for Quarter 2</w:t>
            </w:r>
          </w:p>
          <w:p w:rsidR="007E0356" w:rsidRDefault="007E0356" w:rsidP="00A75E86">
            <w:pPr>
              <w:pStyle w:val="ListParagraph"/>
              <w:numPr>
                <w:ilvl w:val="0"/>
                <w:numId w:val="18"/>
              </w:numPr>
              <w:contextualSpacing/>
              <w:rPr>
                <w:rFonts w:ascii="Tahoma" w:hAnsi="Tahoma" w:cs="Tahoma"/>
                <w:sz w:val="24"/>
                <w:szCs w:val="24"/>
              </w:rPr>
            </w:pPr>
            <w:r>
              <w:rPr>
                <w:rFonts w:ascii="Tahoma" w:hAnsi="Tahoma" w:cs="Tahoma"/>
                <w:sz w:val="24"/>
                <w:szCs w:val="24"/>
              </w:rPr>
              <w:t>Agrees proposed arrangements for 2018-19</w:t>
            </w:r>
          </w:p>
          <w:p w:rsidR="00A12065" w:rsidRPr="00A12065" w:rsidRDefault="00A12065" w:rsidP="00874EF1">
            <w:pPr>
              <w:pStyle w:val="ListParagraph"/>
              <w:ind w:left="360"/>
              <w:contextualSpacing/>
              <w:rPr>
                <w:rFonts w:ascii="Tahoma" w:hAnsi="Tahoma" w:cs="Tahoma"/>
                <w:b/>
                <w:sz w:val="24"/>
                <w:szCs w:val="24"/>
              </w:rPr>
            </w:pPr>
          </w:p>
        </w:tc>
      </w:tr>
    </w:tbl>
    <w:p w:rsidR="00DD5515" w:rsidRDefault="00DD5515" w:rsidP="00BC347E">
      <w:pPr>
        <w:rPr>
          <w:rFonts w:ascii="Tahoma" w:hAnsi="Tahoma" w:cs="Tahoma"/>
          <w:b/>
          <w:sz w:val="24"/>
          <w:szCs w:val="24"/>
        </w:rPr>
      </w:pPr>
    </w:p>
    <w:p w:rsidR="00BC347E" w:rsidRPr="00BC347E" w:rsidRDefault="00BC347E" w:rsidP="00BC347E">
      <w:pPr>
        <w:rPr>
          <w:rFonts w:ascii="Tahoma" w:hAnsi="Tahoma" w:cs="Tahoma"/>
          <w:b/>
          <w:sz w:val="24"/>
          <w:szCs w:val="24"/>
        </w:rPr>
      </w:pPr>
      <w:r w:rsidRPr="00BC347E">
        <w:rPr>
          <w:rFonts w:ascii="Tahoma" w:hAnsi="Tahoma" w:cs="Tahoma"/>
          <w:b/>
          <w:sz w:val="24"/>
          <w:szCs w:val="24"/>
        </w:rPr>
        <w:t>Background</w:t>
      </w:r>
    </w:p>
    <w:p w:rsidR="00BC347E" w:rsidRDefault="00BC347E" w:rsidP="00BC347E">
      <w:pPr>
        <w:rPr>
          <w:rFonts w:ascii="Tahoma" w:hAnsi="Tahoma" w:cs="Tahoma"/>
          <w:sz w:val="24"/>
          <w:szCs w:val="24"/>
        </w:rPr>
      </w:pPr>
    </w:p>
    <w:p w:rsidR="00DF6B2A" w:rsidRDefault="00DF6B2A" w:rsidP="003752CB">
      <w:pPr>
        <w:pStyle w:val="ListParagraph"/>
        <w:numPr>
          <w:ilvl w:val="0"/>
          <w:numId w:val="7"/>
        </w:numPr>
        <w:ind w:left="360"/>
        <w:rPr>
          <w:rFonts w:ascii="Tahoma" w:hAnsi="Tahoma" w:cs="Tahoma"/>
          <w:sz w:val="24"/>
          <w:szCs w:val="24"/>
        </w:rPr>
      </w:pPr>
      <w:r>
        <w:rPr>
          <w:rFonts w:ascii="Tahoma" w:hAnsi="Tahoma" w:cs="Tahoma"/>
          <w:sz w:val="24"/>
          <w:szCs w:val="24"/>
        </w:rPr>
        <w:t>The Integrated Care Fund (ICF) supports delivery of positive outcomes for people needing care and support and their carers and provides an opportunity for the development of new service models with a focus on integrated assessment and care planning; rapid response; reablement; independent living; preventing admission to secondary care and accelerating discharge; developing preventative approaches; and implementing accommodation-based solutions for people currently placed out of area. Funding is allocated to LHBs and for West Wales the current year’s allocation is £</w:t>
      </w:r>
      <w:r w:rsidR="00874EF1">
        <w:rPr>
          <w:rFonts w:ascii="Tahoma" w:hAnsi="Tahoma" w:cs="Tahoma"/>
          <w:sz w:val="24"/>
          <w:szCs w:val="24"/>
        </w:rPr>
        <w:t>1.3m</w:t>
      </w:r>
      <w:r>
        <w:rPr>
          <w:rFonts w:ascii="Tahoma" w:hAnsi="Tahoma" w:cs="Tahoma"/>
          <w:sz w:val="24"/>
          <w:szCs w:val="24"/>
        </w:rPr>
        <w:t xml:space="preserve"> Capital and £</w:t>
      </w:r>
      <w:r w:rsidR="00874EF1">
        <w:rPr>
          <w:rFonts w:ascii="Tahoma" w:hAnsi="Tahoma" w:cs="Tahoma"/>
          <w:sz w:val="24"/>
          <w:szCs w:val="24"/>
        </w:rPr>
        <w:t>6.5m</w:t>
      </w:r>
      <w:r>
        <w:rPr>
          <w:rFonts w:ascii="Tahoma" w:hAnsi="Tahoma" w:cs="Tahoma"/>
          <w:sz w:val="24"/>
          <w:szCs w:val="24"/>
        </w:rPr>
        <w:t xml:space="preserve"> Revenue. Top-slices have been applied nationally to support implementation of WCCIS and the Integrated Autism Service. Additional top-slices have been applied at regional level </w:t>
      </w:r>
      <w:r w:rsidR="00874EF1">
        <w:rPr>
          <w:rFonts w:ascii="Tahoma" w:hAnsi="Tahoma" w:cs="Tahoma"/>
          <w:sz w:val="24"/>
          <w:szCs w:val="24"/>
        </w:rPr>
        <w:t xml:space="preserve">in West Wales </w:t>
      </w:r>
      <w:r>
        <w:rPr>
          <w:rFonts w:ascii="Tahoma" w:hAnsi="Tahoma" w:cs="Tahoma"/>
          <w:sz w:val="24"/>
          <w:szCs w:val="24"/>
        </w:rPr>
        <w:t>to support delivery of the RPB’s strategic priorities and a number of pan-regional initiatives.</w:t>
      </w:r>
    </w:p>
    <w:p w:rsidR="00DF6B2A" w:rsidRDefault="00DF6B2A" w:rsidP="00DF6B2A">
      <w:pPr>
        <w:pStyle w:val="ListParagraph"/>
        <w:ind w:left="360"/>
        <w:rPr>
          <w:rFonts w:ascii="Tahoma" w:hAnsi="Tahoma" w:cs="Tahoma"/>
          <w:sz w:val="24"/>
          <w:szCs w:val="24"/>
        </w:rPr>
      </w:pPr>
    </w:p>
    <w:p w:rsidR="00B076CA" w:rsidRDefault="00BD14DE" w:rsidP="003752CB">
      <w:pPr>
        <w:pStyle w:val="ListParagraph"/>
        <w:numPr>
          <w:ilvl w:val="0"/>
          <w:numId w:val="7"/>
        </w:numPr>
        <w:ind w:left="360"/>
        <w:rPr>
          <w:rFonts w:ascii="Tahoma" w:hAnsi="Tahoma" w:cs="Tahoma"/>
          <w:sz w:val="24"/>
          <w:szCs w:val="24"/>
        </w:rPr>
      </w:pPr>
      <w:r>
        <w:rPr>
          <w:rFonts w:ascii="Tahoma" w:hAnsi="Tahoma" w:cs="Tahoma"/>
          <w:sz w:val="24"/>
          <w:szCs w:val="24"/>
        </w:rPr>
        <w:t xml:space="preserve">In May 2017 the RPB considered Regional investment Plans for both Revenue and Capital projects. These were approved in principle and subsequently finalised by statutory partners prior to submission to Welsh Government. Revenue plans </w:t>
      </w:r>
      <w:r>
        <w:rPr>
          <w:rFonts w:ascii="Tahoma" w:hAnsi="Tahoma" w:cs="Tahoma"/>
          <w:sz w:val="24"/>
          <w:szCs w:val="24"/>
        </w:rPr>
        <w:lastRenderedPageBreak/>
        <w:t xml:space="preserve">do not require Welsh Government approval; however this is required for the Capital element of the Fund, which is paid via a Grant. All Capital schemes </w:t>
      </w:r>
      <w:r w:rsidR="00874EF1">
        <w:rPr>
          <w:rFonts w:ascii="Tahoma" w:hAnsi="Tahoma" w:cs="Tahoma"/>
          <w:sz w:val="24"/>
          <w:szCs w:val="24"/>
        </w:rPr>
        <w:t xml:space="preserve">proposed in </w:t>
      </w:r>
      <w:r>
        <w:rPr>
          <w:rFonts w:ascii="Tahoma" w:hAnsi="Tahoma" w:cs="Tahoma"/>
          <w:sz w:val="24"/>
          <w:szCs w:val="24"/>
        </w:rPr>
        <w:t>West Wales have now been approved.</w:t>
      </w:r>
    </w:p>
    <w:p w:rsidR="00BD14DE" w:rsidRPr="00BD14DE" w:rsidRDefault="00BD14DE" w:rsidP="00BD14DE">
      <w:pPr>
        <w:pStyle w:val="ListParagraph"/>
        <w:rPr>
          <w:rFonts w:ascii="Tahoma" w:hAnsi="Tahoma" w:cs="Tahoma"/>
          <w:sz w:val="24"/>
          <w:szCs w:val="24"/>
        </w:rPr>
      </w:pPr>
    </w:p>
    <w:p w:rsidR="00BD14DE" w:rsidRDefault="00BD14DE" w:rsidP="003752CB">
      <w:pPr>
        <w:pStyle w:val="ListParagraph"/>
        <w:numPr>
          <w:ilvl w:val="0"/>
          <w:numId w:val="7"/>
        </w:numPr>
        <w:ind w:left="360"/>
        <w:rPr>
          <w:rFonts w:ascii="Tahoma" w:hAnsi="Tahoma" w:cs="Tahoma"/>
          <w:sz w:val="24"/>
          <w:szCs w:val="24"/>
        </w:rPr>
      </w:pPr>
      <w:r>
        <w:rPr>
          <w:rFonts w:ascii="Tahoma" w:hAnsi="Tahoma" w:cs="Tahoma"/>
          <w:sz w:val="24"/>
          <w:szCs w:val="24"/>
        </w:rPr>
        <w:t xml:space="preserve">Quarterly reports </w:t>
      </w:r>
      <w:r w:rsidR="00874EF1">
        <w:rPr>
          <w:rFonts w:ascii="Tahoma" w:hAnsi="Tahoma" w:cs="Tahoma"/>
          <w:sz w:val="24"/>
          <w:szCs w:val="24"/>
        </w:rPr>
        <w:t>o</w:t>
      </w:r>
      <w:r>
        <w:rPr>
          <w:rFonts w:ascii="Tahoma" w:hAnsi="Tahoma" w:cs="Tahoma"/>
          <w:sz w:val="24"/>
          <w:szCs w:val="24"/>
        </w:rPr>
        <w:t>n delivery of funded schemes are required by Welsh Government, using a prescribed reporting template. The RPB considered and approved the Quarter 1 Report in July 2017. In view of the complex nature and detail of the Report, members requested summary versions for subsequent quarters.</w:t>
      </w:r>
    </w:p>
    <w:p w:rsidR="00A75E86" w:rsidRPr="00A75E86" w:rsidRDefault="00A75E86" w:rsidP="00A75E86">
      <w:pPr>
        <w:pStyle w:val="ListParagraph"/>
        <w:ind w:left="360"/>
        <w:rPr>
          <w:rFonts w:ascii="Tahoma" w:hAnsi="Tahoma" w:cs="Tahoma"/>
          <w:sz w:val="24"/>
          <w:szCs w:val="24"/>
        </w:rPr>
      </w:pPr>
    </w:p>
    <w:p w:rsidR="00B076CA" w:rsidRPr="00B076CA" w:rsidRDefault="00BD14DE" w:rsidP="00B076CA">
      <w:pPr>
        <w:rPr>
          <w:rFonts w:ascii="Tahoma" w:hAnsi="Tahoma" w:cs="Tahoma"/>
          <w:b/>
          <w:sz w:val="24"/>
          <w:szCs w:val="24"/>
        </w:rPr>
      </w:pPr>
      <w:r>
        <w:rPr>
          <w:rFonts w:ascii="Tahoma" w:hAnsi="Tahoma" w:cs="Tahoma"/>
          <w:b/>
          <w:sz w:val="24"/>
          <w:szCs w:val="24"/>
        </w:rPr>
        <w:t>Quarter 2 Report</w:t>
      </w:r>
    </w:p>
    <w:p w:rsidR="00B076CA" w:rsidRDefault="00B076CA" w:rsidP="00B076CA">
      <w:pPr>
        <w:rPr>
          <w:rFonts w:ascii="Tahoma" w:hAnsi="Tahoma" w:cs="Tahoma"/>
          <w:sz w:val="24"/>
          <w:szCs w:val="24"/>
        </w:rPr>
      </w:pPr>
    </w:p>
    <w:p w:rsidR="00B076CA" w:rsidRDefault="00BD14DE" w:rsidP="00BD14DE">
      <w:pPr>
        <w:pStyle w:val="ListParagraph"/>
        <w:numPr>
          <w:ilvl w:val="0"/>
          <w:numId w:val="7"/>
        </w:numPr>
        <w:ind w:left="426"/>
        <w:rPr>
          <w:rFonts w:ascii="Tahoma" w:hAnsi="Tahoma" w:cs="Tahoma"/>
          <w:sz w:val="24"/>
          <w:szCs w:val="24"/>
        </w:rPr>
      </w:pPr>
      <w:r>
        <w:rPr>
          <w:rFonts w:ascii="Tahoma" w:hAnsi="Tahoma" w:cs="Tahoma"/>
          <w:sz w:val="24"/>
          <w:szCs w:val="24"/>
        </w:rPr>
        <w:t xml:space="preserve">The Quarter 2 Report was submitted to Welsh Government in October 2017. A summary version of the Report is attached as Appendix 1. This provides an overview of constituent programmes, information on spend against budget for each scheme and illustrative case studies </w:t>
      </w:r>
      <w:r w:rsidR="009F2C37">
        <w:rPr>
          <w:rFonts w:ascii="Tahoma" w:hAnsi="Tahoma" w:cs="Tahoma"/>
          <w:sz w:val="24"/>
          <w:szCs w:val="24"/>
        </w:rPr>
        <w:t>against individual themes</w:t>
      </w:r>
      <w:r>
        <w:rPr>
          <w:rFonts w:ascii="Tahoma" w:hAnsi="Tahoma" w:cs="Tahoma"/>
          <w:sz w:val="24"/>
          <w:szCs w:val="24"/>
        </w:rPr>
        <w:t>.</w:t>
      </w:r>
      <w:r w:rsidR="00E505B1">
        <w:rPr>
          <w:rFonts w:ascii="Tahoma" w:hAnsi="Tahoma" w:cs="Tahoma"/>
          <w:sz w:val="24"/>
          <w:szCs w:val="24"/>
        </w:rPr>
        <w:t xml:space="preserve"> Work is underway to develop a regional performance framework against which all projects will report from 2018-19, providing </w:t>
      </w:r>
      <w:r w:rsidR="00874EF1">
        <w:rPr>
          <w:rFonts w:ascii="Tahoma" w:hAnsi="Tahoma" w:cs="Tahoma"/>
          <w:sz w:val="24"/>
          <w:szCs w:val="24"/>
        </w:rPr>
        <w:t>an improved</w:t>
      </w:r>
      <w:r w:rsidR="00E505B1">
        <w:rPr>
          <w:rFonts w:ascii="Tahoma" w:hAnsi="Tahoma" w:cs="Tahoma"/>
          <w:sz w:val="24"/>
          <w:szCs w:val="24"/>
        </w:rPr>
        <w:t xml:space="preserve"> analysis of the impact of individual schemes.</w:t>
      </w:r>
    </w:p>
    <w:p w:rsidR="00BD14DE" w:rsidRDefault="00BD14DE" w:rsidP="00BD14DE">
      <w:pPr>
        <w:rPr>
          <w:rFonts w:ascii="Tahoma" w:hAnsi="Tahoma" w:cs="Tahoma"/>
          <w:sz w:val="24"/>
          <w:szCs w:val="24"/>
        </w:rPr>
      </w:pPr>
    </w:p>
    <w:p w:rsidR="00BD14DE" w:rsidRDefault="009F2C37" w:rsidP="00BD14DE">
      <w:pPr>
        <w:pStyle w:val="ListParagraph"/>
        <w:numPr>
          <w:ilvl w:val="0"/>
          <w:numId w:val="7"/>
        </w:numPr>
        <w:ind w:left="426"/>
        <w:rPr>
          <w:rFonts w:ascii="Tahoma" w:hAnsi="Tahoma" w:cs="Tahoma"/>
          <w:sz w:val="24"/>
          <w:szCs w:val="24"/>
        </w:rPr>
      </w:pPr>
      <w:r>
        <w:rPr>
          <w:rFonts w:ascii="Tahoma" w:hAnsi="Tahoma" w:cs="Tahoma"/>
          <w:sz w:val="24"/>
          <w:szCs w:val="24"/>
        </w:rPr>
        <w:t xml:space="preserve">The full Quarter 2 Report is available </w:t>
      </w:r>
      <w:r w:rsidR="00874EF1">
        <w:rPr>
          <w:rFonts w:ascii="Tahoma" w:hAnsi="Tahoma" w:cs="Tahoma"/>
          <w:sz w:val="24"/>
          <w:szCs w:val="24"/>
        </w:rPr>
        <w:t>from the Regional Collaboration Unit.</w:t>
      </w:r>
    </w:p>
    <w:p w:rsidR="009F2C37" w:rsidRPr="009F2C37" w:rsidRDefault="009F2C37" w:rsidP="009F2C37">
      <w:pPr>
        <w:pStyle w:val="ListParagraph"/>
        <w:rPr>
          <w:rFonts w:ascii="Tahoma" w:hAnsi="Tahoma" w:cs="Tahoma"/>
          <w:sz w:val="24"/>
          <w:szCs w:val="24"/>
        </w:rPr>
      </w:pPr>
    </w:p>
    <w:p w:rsidR="009F2C37" w:rsidRPr="00E505B1" w:rsidRDefault="009F2C37" w:rsidP="009F2C37">
      <w:pPr>
        <w:rPr>
          <w:rFonts w:ascii="Tahoma" w:hAnsi="Tahoma" w:cs="Tahoma"/>
          <w:b/>
          <w:sz w:val="24"/>
          <w:szCs w:val="24"/>
        </w:rPr>
      </w:pPr>
      <w:r w:rsidRPr="00E505B1">
        <w:rPr>
          <w:rFonts w:ascii="Tahoma" w:hAnsi="Tahoma" w:cs="Tahoma"/>
          <w:b/>
          <w:sz w:val="24"/>
          <w:szCs w:val="24"/>
        </w:rPr>
        <w:t>Proposed Arrangements for 2017-18</w:t>
      </w:r>
    </w:p>
    <w:p w:rsidR="009F2C37" w:rsidRPr="009F2C37" w:rsidRDefault="009F2C37" w:rsidP="009F2C37">
      <w:pPr>
        <w:pStyle w:val="ListParagraph"/>
        <w:rPr>
          <w:rFonts w:ascii="Tahoma" w:hAnsi="Tahoma" w:cs="Tahoma"/>
          <w:sz w:val="24"/>
          <w:szCs w:val="24"/>
        </w:rPr>
      </w:pPr>
    </w:p>
    <w:p w:rsidR="009F2C37" w:rsidRDefault="009F2C37" w:rsidP="00BD14DE">
      <w:pPr>
        <w:pStyle w:val="ListParagraph"/>
        <w:numPr>
          <w:ilvl w:val="0"/>
          <w:numId w:val="7"/>
        </w:numPr>
        <w:ind w:left="426"/>
        <w:rPr>
          <w:rFonts w:ascii="Tahoma" w:hAnsi="Tahoma" w:cs="Tahoma"/>
          <w:sz w:val="24"/>
          <w:szCs w:val="24"/>
        </w:rPr>
      </w:pPr>
      <w:r>
        <w:rPr>
          <w:rFonts w:ascii="Tahoma" w:hAnsi="Tahoma" w:cs="Tahoma"/>
          <w:sz w:val="24"/>
          <w:szCs w:val="24"/>
        </w:rPr>
        <w:t>Welsh Government has advised that the ICF will continue for the remainder of the current Welsh Assembly term, i.e. until the end of the 2020-21 financial year, and that current funding priorities will be retained over the duration of the Fund.</w:t>
      </w:r>
    </w:p>
    <w:p w:rsidR="009F2C37" w:rsidRDefault="009F2C37" w:rsidP="009F2C37">
      <w:pPr>
        <w:rPr>
          <w:rFonts w:ascii="Tahoma" w:hAnsi="Tahoma" w:cs="Tahoma"/>
          <w:sz w:val="24"/>
          <w:szCs w:val="24"/>
        </w:rPr>
      </w:pPr>
    </w:p>
    <w:p w:rsidR="009F2C37" w:rsidRPr="009F2C37" w:rsidRDefault="009F2C37" w:rsidP="009F2C37">
      <w:pPr>
        <w:pStyle w:val="ListParagraph"/>
        <w:numPr>
          <w:ilvl w:val="0"/>
          <w:numId w:val="7"/>
        </w:numPr>
        <w:ind w:left="284"/>
        <w:rPr>
          <w:rFonts w:ascii="Tahoma" w:hAnsi="Tahoma" w:cs="Tahoma"/>
          <w:sz w:val="24"/>
          <w:szCs w:val="24"/>
        </w:rPr>
      </w:pPr>
      <w:r w:rsidRPr="009F2C37">
        <w:rPr>
          <w:rFonts w:ascii="Tahoma" w:hAnsi="Tahoma" w:cs="Tahoma"/>
          <w:sz w:val="24"/>
          <w:szCs w:val="24"/>
        </w:rPr>
        <w:t xml:space="preserve">In addition, an announcement is expected shortly regarding new Capital funding to support accommodation-based solutions. A regional approach and one which demonstrates collaboration between RPBs and strategic housing are likely to be among conditions for this new funding, </w:t>
      </w:r>
      <w:r w:rsidR="00DC20A7">
        <w:rPr>
          <w:rFonts w:ascii="Tahoma" w:hAnsi="Tahoma" w:cs="Tahoma"/>
          <w:sz w:val="24"/>
          <w:szCs w:val="24"/>
        </w:rPr>
        <w:t>which will total £75m across Wales over 4 years.</w:t>
      </w:r>
    </w:p>
    <w:p w:rsidR="009F2C37" w:rsidRDefault="009F2C37" w:rsidP="009F2C37">
      <w:pPr>
        <w:rPr>
          <w:rFonts w:ascii="Tahoma" w:hAnsi="Tahoma" w:cs="Tahoma"/>
          <w:sz w:val="24"/>
          <w:szCs w:val="24"/>
        </w:rPr>
      </w:pPr>
    </w:p>
    <w:p w:rsidR="009F2C37" w:rsidRPr="00381133" w:rsidRDefault="00C6144A" w:rsidP="00381133">
      <w:pPr>
        <w:pStyle w:val="ListParagraph"/>
        <w:numPr>
          <w:ilvl w:val="0"/>
          <w:numId w:val="7"/>
        </w:numPr>
        <w:ind w:left="284"/>
        <w:rPr>
          <w:rFonts w:ascii="Tahoma" w:hAnsi="Tahoma" w:cs="Tahoma"/>
          <w:sz w:val="24"/>
          <w:szCs w:val="24"/>
        </w:rPr>
      </w:pPr>
      <w:bookmarkStart w:id="0" w:name="_GoBack"/>
      <w:bookmarkEnd w:id="0"/>
      <w:r w:rsidRPr="00381133">
        <w:rPr>
          <w:rFonts w:ascii="Tahoma" w:hAnsi="Tahoma" w:cs="Tahoma"/>
          <w:sz w:val="24"/>
          <w:szCs w:val="24"/>
        </w:rPr>
        <w:t xml:space="preserve">In order to support continuation of existing schemes where appropriate, and timely commencement of new projects, arrangements need to be in place to </w:t>
      </w:r>
      <w:r w:rsidR="00874EF1">
        <w:rPr>
          <w:rFonts w:ascii="Tahoma" w:hAnsi="Tahoma" w:cs="Tahoma"/>
          <w:sz w:val="24"/>
          <w:szCs w:val="24"/>
        </w:rPr>
        <w:t>finalise</w:t>
      </w:r>
      <w:r w:rsidRPr="00381133">
        <w:rPr>
          <w:rFonts w:ascii="Tahoma" w:hAnsi="Tahoma" w:cs="Tahoma"/>
          <w:sz w:val="24"/>
          <w:szCs w:val="24"/>
        </w:rPr>
        <w:t xml:space="preserve"> next year’s programme by the end of March 2018, with sign-off by the RPB in April. </w:t>
      </w:r>
      <w:r w:rsidR="00874EF1">
        <w:rPr>
          <w:rFonts w:ascii="Tahoma" w:hAnsi="Tahoma" w:cs="Tahoma"/>
          <w:sz w:val="24"/>
          <w:szCs w:val="24"/>
        </w:rPr>
        <w:t>Such</w:t>
      </w:r>
      <w:r w:rsidRPr="00381133">
        <w:rPr>
          <w:rFonts w:ascii="Tahoma" w:hAnsi="Tahoma" w:cs="Tahoma"/>
          <w:sz w:val="24"/>
          <w:szCs w:val="24"/>
        </w:rPr>
        <w:t xml:space="preserve"> arrangements need to address a number of issues raised by the RPB at its meeting in May 2017, namely:</w:t>
      </w:r>
    </w:p>
    <w:p w:rsidR="00C6144A" w:rsidRDefault="00C6144A" w:rsidP="009F2C37">
      <w:pPr>
        <w:rPr>
          <w:rFonts w:ascii="Tahoma" w:hAnsi="Tahoma" w:cs="Tahoma"/>
          <w:sz w:val="24"/>
          <w:szCs w:val="24"/>
        </w:rPr>
      </w:pPr>
    </w:p>
    <w:p w:rsidR="00C6144A" w:rsidRPr="00381133" w:rsidRDefault="00C6144A" w:rsidP="00381133">
      <w:pPr>
        <w:pStyle w:val="ListParagraph"/>
        <w:numPr>
          <w:ilvl w:val="0"/>
          <w:numId w:val="28"/>
        </w:numPr>
        <w:rPr>
          <w:rFonts w:ascii="Tahoma" w:hAnsi="Tahoma" w:cs="Tahoma"/>
          <w:sz w:val="24"/>
          <w:szCs w:val="24"/>
        </w:rPr>
      </w:pPr>
      <w:r w:rsidRPr="00381133">
        <w:rPr>
          <w:rFonts w:ascii="Tahoma" w:hAnsi="Tahoma" w:cs="Tahoma"/>
          <w:sz w:val="24"/>
          <w:szCs w:val="24"/>
        </w:rPr>
        <w:t>The need to ensure appropriate engagement with non-statutory partners in the development of the programme</w:t>
      </w:r>
    </w:p>
    <w:p w:rsidR="00C6144A" w:rsidRPr="00381133" w:rsidRDefault="00C6144A" w:rsidP="00381133">
      <w:pPr>
        <w:pStyle w:val="ListParagraph"/>
        <w:numPr>
          <w:ilvl w:val="0"/>
          <w:numId w:val="28"/>
        </w:numPr>
        <w:rPr>
          <w:rFonts w:ascii="Tahoma" w:hAnsi="Tahoma" w:cs="Tahoma"/>
          <w:sz w:val="24"/>
          <w:szCs w:val="24"/>
        </w:rPr>
      </w:pPr>
      <w:r w:rsidRPr="00381133">
        <w:rPr>
          <w:rFonts w:ascii="Tahoma" w:hAnsi="Tahoma" w:cs="Tahoma"/>
          <w:sz w:val="24"/>
          <w:szCs w:val="24"/>
        </w:rPr>
        <w:t>The need to consider moving successful programmes into core funding, thus releasing ICF resources to fund new initiatives</w:t>
      </w:r>
    </w:p>
    <w:p w:rsidR="00C6144A" w:rsidRPr="00381133" w:rsidRDefault="00C6144A" w:rsidP="00381133">
      <w:pPr>
        <w:pStyle w:val="ListParagraph"/>
        <w:numPr>
          <w:ilvl w:val="0"/>
          <w:numId w:val="28"/>
        </w:numPr>
        <w:rPr>
          <w:rFonts w:ascii="Tahoma" w:hAnsi="Tahoma" w:cs="Tahoma"/>
          <w:sz w:val="24"/>
          <w:szCs w:val="24"/>
        </w:rPr>
      </w:pPr>
      <w:r w:rsidRPr="00381133">
        <w:rPr>
          <w:rFonts w:ascii="Tahoma" w:hAnsi="Tahoma" w:cs="Tahoma"/>
          <w:sz w:val="24"/>
          <w:szCs w:val="24"/>
        </w:rPr>
        <w:t>The need to ensure funded projects reflect RPB priorities</w:t>
      </w:r>
    </w:p>
    <w:p w:rsidR="00C6144A" w:rsidRPr="00381133" w:rsidRDefault="00C6144A" w:rsidP="00381133">
      <w:pPr>
        <w:pStyle w:val="ListParagraph"/>
        <w:numPr>
          <w:ilvl w:val="0"/>
          <w:numId w:val="28"/>
        </w:numPr>
        <w:rPr>
          <w:rFonts w:ascii="Tahoma" w:hAnsi="Tahoma" w:cs="Tahoma"/>
          <w:sz w:val="24"/>
          <w:szCs w:val="24"/>
        </w:rPr>
      </w:pPr>
      <w:r w:rsidRPr="00381133">
        <w:rPr>
          <w:rFonts w:ascii="Tahoma" w:hAnsi="Tahoma" w:cs="Tahoma"/>
          <w:sz w:val="24"/>
          <w:szCs w:val="24"/>
        </w:rPr>
        <w:t>The need to align the ICF with other relevant programmes such as the NHS Cluster programme</w:t>
      </w:r>
    </w:p>
    <w:p w:rsidR="00C6144A" w:rsidRDefault="00C6144A" w:rsidP="009F2C37">
      <w:pPr>
        <w:rPr>
          <w:rFonts w:ascii="Tahoma" w:hAnsi="Tahoma" w:cs="Tahoma"/>
          <w:sz w:val="24"/>
          <w:szCs w:val="24"/>
        </w:rPr>
      </w:pPr>
    </w:p>
    <w:p w:rsidR="00C6144A" w:rsidRPr="00381133" w:rsidRDefault="00C6144A" w:rsidP="00381133">
      <w:pPr>
        <w:pStyle w:val="ListParagraph"/>
        <w:numPr>
          <w:ilvl w:val="0"/>
          <w:numId w:val="7"/>
        </w:numPr>
        <w:ind w:left="284"/>
        <w:rPr>
          <w:rFonts w:ascii="Tahoma" w:hAnsi="Tahoma" w:cs="Tahoma"/>
          <w:sz w:val="24"/>
          <w:szCs w:val="24"/>
        </w:rPr>
      </w:pPr>
      <w:r w:rsidRPr="00381133">
        <w:rPr>
          <w:rFonts w:ascii="Tahoma" w:hAnsi="Tahoma" w:cs="Tahoma"/>
          <w:sz w:val="24"/>
          <w:szCs w:val="24"/>
        </w:rPr>
        <w:t>To address the above, the following approach is suggested</w:t>
      </w:r>
    </w:p>
    <w:p w:rsidR="00C6144A" w:rsidRDefault="00C6144A" w:rsidP="009F2C37">
      <w:pPr>
        <w:rPr>
          <w:rFonts w:ascii="Tahoma" w:hAnsi="Tahoma" w:cs="Tahoma"/>
          <w:sz w:val="24"/>
          <w:szCs w:val="24"/>
        </w:rPr>
      </w:pPr>
    </w:p>
    <w:p w:rsidR="00381133" w:rsidRDefault="00C6144A" w:rsidP="00381133">
      <w:pPr>
        <w:pStyle w:val="ListParagraph"/>
        <w:numPr>
          <w:ilvl w:val="0"/>
          <w:numId w:val="29"/>
        </w:numPr>
        <w:rPr>
          <w:rFonts w:ascii="Tahoma" w:hAnsi="Tahoma" w:cs="Tahoma"/>
          <w:sz w:val="24"/>
          <w:szCs w:val="24"/>
        </w:rPr>
      </w:pPr>
      <w:r w:rsidRPr="00381133">
        <w:rPr>
          <w:rFonts w:ascii="Tahoma" w:hAnsi="Tahoma" w:cs="Tahoma"/>
          <w:sz w:val="24"/>
          <w:szCs w:val="24"/>
        </w:rPr>
        <w:t>Assume continuation of funding for the Region at 2017-18 levels and work from this as a baseline</w:t>
      </w:r>
    </w:p>
    <w:p w:rsidR="00381133" w:rsidRDefault="00381133" w:rsidP="00381133">
      <w:pPr>
        <w:pStyle w:val="ListParagraph"/>
        <w:rPr>
          <w:rFonts w:ascii="Tahoma" w:hAnsi="Tahoma" w:cs="Tahoma"/>
          <w:sz w:val="24"/>
          <w:szCs w:val="24"/>
        </w:rPr>
      </w:pPr>
    </w:p>
    <w:p w:rsidR="00C6144A" w:rsidRPr="00381133" w:rsidRDefault="00C6144A" w:rsidP="00381133">
      <w:pPr>
        <w:pStyle w:val="ListParagraph"/>
        <w:numPr>
          <w:ilvl w:val="0"/>
          <w:numId w:val="29"/>
        </w:numPr>
        <w:rPr>
          <w:rFonts w:ascii="Tahoma" w:hAnsi="Tahoma" w:cs="Tahoma"/>
          <w:sz w:val="24"/>
          <w:szCs w:val="24"/>
        </w:rPr>
      </w:pPr>
      <w:r w:rsidRPr="00381133">
        <w:rPr>
          <w:rFonts w:ascii="Tahoma" w:hAnsi="Tahoma" w:cs="Tahoma"/>
          <w:sz w:val="24"/>
          <w:szCs w:val="24"/>
        </w:rPr>
        <w:t>In respect of Revenue funding:</w:t>
      </w:r>
    </w:p>
    <w:p w:rsidR="00C6144A" w:rsidRPr="00381133" w:rsidRDefault="00C6144A" w:rsidP="00381133">
      <w:pPr>
        <w:pStyle w:val="ListParagraph"/>
        <w:numPr>
          <w:ilvl w:val="0"/>
          <w:numId w:val="30"/>
        </w:numPr>
        <w:rPr>
          <w:rFonts w:ascii="Tahoma" w:hAnsi="Tahoma" w:cs="Tahoma"/>
          <w:sz w:val="24"/>
          <w:szCs w:val="24"/>
        </w:rPr>
      </w:pPr>
      <w:r w:rsidRPr="00381133">
        <w:rPr>
          <w:rFonts w:ascii="Tahoma" w:hAnsi="Tahoma" w:cs="Tahoma"/>
          <w:sz w:val="24"/>
          <w:szCs w:val="24"/>
        </w:rPr>
        <w:t>Maintain a regional top-slice to support delivery of RPB priorities and pan-regional initiatives</w:t>
      </w:r>
    </w:p>
    <w:p w:rsidR="00C6144A" w:rsidRPr="00381133" w:rsidRDefault="00C6144A" w:rsidP="00381133">
      <w:pPr>
        <w:pStyle w:val="ListParagraph"/>
        <w:numPr>
          <w:ilvl w:val="0"/>
          <w:numId w:val="30"/>
        </w:numPr>
        <w:rPr>
          <w:rFonts w:ascii="Tahoma" w:hAnsi="Tahoma" w:cs="Tahoma"/>
          <w:sz w:val="24"/>
          <w:szCs w:val="24"/>
        </w:rPr>
      </w:pPr>
      <w:r w:rsidRPr="00381133">
        <w:rPr>
          <w:rFonts w:ascii="Tahoma" w:hAnsi="Tahoma" w:cs="Tahoma"/>
          <w:sz w:val="24"/>
          <w:szCs w:val="24"/>
        </w:rPr>
        <w:t>Apportion remaining funds to the three local authority areas on a population basis</w:t>
      </w:r>
    </w:p>
    <w:p w:rsidR="00C6144A" w:rsidRPr="00381133" w:rsidRDefault="00C6144A" w:rsidP="00381133">
      <w:pPr>
        <w:pStyle w:val="ListParagraph"/>
        <w:numPr>
          <w:ilvl w:val="0"/>
          <w:numId w:val="30"/>
        </w:numPr>
        <w:rPr>
          <w:rFonts w:ascii="Tahoma" w:hAnsi="Tahoma" w:cs="Tahoma"/>
          <w:sz w:val="24"/>
          <w:szCs w:val="24"/>
        </w:rPr>
      </w:pPr>
      <w:r w:rsidRPr="00381133">
        <w:rPr>
          <w:rFonts w:ascii="Tahoma" w:hAnsi="Tahoma" w:cs="Tahoma"/>
          <w:sz w:val="24"/>
          <w:szCs w:val="24"/>
        </w:rPr>
        <w:t xml:space="preserve">Review </w:t>
      </w:r>
      <w:r w:rsidR="00381133" w:rsidRPr="00381133">
        <w:rPr>
          <w:rFonts w:ascii="Tahoma" w:hAnsi="Tahoma" w:cs="Tahoma"/>
          <w:sz w:val="24"/>
          <w:szCs w:val="24"/>
        </w:rPr>
        <w:t>bidd</w:t>
      </w:r>
      <w:r w:rsidRPr="00381133">
        <w:rPr>
          <w:rFonts w:ascii="Tahoma" w:hAnsi="Tahoma" w:cs="Tahoma"/>
          <w:sz w:val="24"/>
          <w:szCs w:val="24"/>
        </w:rPr>
        <w:t>ing criteria to include the requirement to evidence:</w:t>
      </w:r>
    </w:p>
    <w:p w:rsidR="00C6144A" w:rsidRPr="00381133" w:rsidRDefault="00C6144A" w:rsidP="00381133">
      <w:pPr>
        <w:pStyle w:val="ListParagraph"/>
        <w:numPr>
          <w:ilvl w:val="0"/>
          <w:numId w:val="30"/>
        </w:numPr>
        <w:rPr>
          <w:rFonts w:ascii="Tahoma" w:hAnsi="Tahoma" w:cs="Tahoma"/>
          <w:sz w:val="24"/>
          <w:szCs w:val="24"/>
        </w:rPr>
      </w:pPr>
      <w:r w:rsidRPr="00381133">
        <w:rPr>
          <w:rFonts w:ascii="Tahoma" w:hAnsi="Tahoma" w:cs="Tahoma"/>
          <w:sz w:val="24"/>
          <w:szCs w:val="24"/>
        </w:rPr>
        <w:t>Appropriate engagement with non-statutory partners in the development of proposals</w:t>
      </w:r>
    </w:p>
    <w:p w:rsidR="00C6144A" w:rsidRPr="00381133" w:rsidRDefault="00C6144A" w:rsidP="00381133">
      <w:pPr>
        <w:pStyle w:val="ListParagraph"/>
        <w:numPr>
          <w:ilvl w:val="0"/>
          <w:numId w:val="30"/>
        </w:numPr>
        <w:rPr>
          <w:rFonts w:ascii="Tahoma" w:hAnsi="Tahoma" w:cs="Tahoma"/>
          <w:sz w:val="24"/>
          <w:szCs w:val="24"/>
        </w:rPr>
      </w:pPr>
      <w:r w:rsidRPr="00381133">
        <w:rPr>
          <w:rFonts w:ascii="Tahoma" w:hAnsi="Tahoma" w:cs="Tahoma"/>
          <w:sz w:val="24"/>
          <w:szCs w:val="24"/>
        </w:rPr>
        <w:t>Alignment of projects with RPB priorities, Area Plan commitments, the Hywel dda Transforming Clinical Services Programme and relevant initiatives receiving NHS Cluster funding</w:t>
      </w:r>
    </w:p>
    <w:p w:rsidR="00C6144A" w:rsidRPr="00381133" w:rsidRDefault="00381133" w:rsidP="00381133">
      <w:pPr>
        <w:pStyle w:val="ListParagraph"/>
        <w:numPr>
          <w:ilvl w:val="0"/>
          <w:numId w:val="30"/>
        </w:numPr>
        <w:rPr>
          <w:rFonts w:ascii="Tahoma" w:hAnsi="Tahoma" w:cs="Tahoma"/>
          <w:sz w:val="24"/>
          <w:szCs w:val="24"/>
        </w:rPr>
      </w:pPr>
      <w:r w:rsidRPr="00381133">
        <w:rPr>
          <w:rFonts w:ascii="Tahoma" w:hAnsi="Tahoma" w:cs="Tahoma"/>
          <w:sz w:val="24"/>
          <w:szCs w:val="24"/>
        </w:rPr>
        <w:t>Regional outcomes to which the project will contribute</w:t>
      </w:r>
    </w:p>
    <w:p w:rsidR="00381133" w:rsidRPr="00381133" w:rsidRDefault="00381133" w:rsidP="00381133">
      <w:pPr>
        <w:pStyle w:val="ListParagraph"/>
        <w:numPr>
          <w:ilvl w:val="0"/>
          <w:numId w:val="30"/>
        </w:numPr>
        <w:rPr>
          <w:rFonts w:ascii="Tahoma" w:hAnsi="Tahoma" w:cs="Tahoma"/>
          <w:sz w:val="24"/>
          <w:szCs w:val="24"/>
        </w:rPr>
      </w:pPr>
      <w:r w:rsidRPr="00381133">
        <w:rPr>
          <w:rFonts w:ascii="Tahoma" w:hAnsi="Tahoma" w:cs="Tahoma"/>
          <w:sz w:val="24"/>
          <w:szCs w:val="24"/>
        </w:rPr>
        <w:t>Sustainability plans and timed exit strategies for each project</w:t>
      </w:r>
    </w:p>
    <w:p w:rsidR="00381133" w:rsidRPr="00E505B1" w:rsidRDefault="00E505B1" w:rsidP="00EF279C">
      <w:pPr>
        <w:pStyle w:val="ListParagraph"/>
        <w:numPr>
          <w:ilvl w:val="0"/>
          <w:numId w:val="30"/>
        </w:numPr>
        <w:rPr>
          <w:rFonts w:ascii="Tahoma" w:hAnsi="Tahoma" w:cs="Tahoma"/>
          <w:sz w:val="24"/>
          <w:szCs w:val="24"/>
        </w:rPr>
      </w:pPr>
      <w:r w:rsidRPr="00E505B1">
        <w:rPr>
          <w:rFonts w:ascii="Tahoma" w:hAnsi="Tahoma" w:cs="Tahoma"/>
          <w:sz w:val="24"/>
          <w:szCs w:val="24"/>
        </w:rPr>
        <w:t>Establish a regional mechanism for consideration/ moderation</w:t>
      </w:r>
      <w:r w:rsidR="00381133" w:rsidRPr="00E505B1">
        <w:rPr>
          <w:rFonts w:ascii="Tahoma" w:hAnsi="Tahoma" w:cs="Tahoma"/>
          <w:sz w:val="24"/>
          <w:szCs w:val="24"/>
        </w:rPr>
        <w:t xml:space="preserve"> of initial proposals developed and agreed at local level</w:t>
      </w:r>
      <w:r w:rsidRPr="00E505B1">
        <w:rPr>
          <w:rFonts w:ascii="Tahoma" w:hAnsi="Tahoma" w:cs="Tahoma"/>
          <w:sz w:val="24"/>
          <w:szCs w:val="24"/>
        </w:rPr>
        <w:t>,</w:t>
      </w:r>
      <w:r w:rsidR="00381133" w:rsidRPr="00E505B1">
        <w:rPr>
          <w:rFonts w:ascii="Tahoma" w:hAnsi="Tahoma" w:cs="Tahoma"/>
          <w:sz w:val="24"/>
          <w:szCs w:val="24"/>
        </w:rPr>
        <w:t xml:space="preserve"> and pan-regional proposals</w:t>
      </w:r>
      <w:r w:rsidRPr="00E505B1">
        <w:rPr>
          <w:rFonts w:ascii="Tahoma" w:hAnsi="Tahoma" w:cs="Tahoma"/>
          <w:sz w:val="24"/>
          <w:szCs w:val="24"/>
        </w:rPr>
        <w:t xml:space="preserve">. This will involve </w:t>
      </w:r>
      <w:r w:rsidR="00381133" w:rsidRPr="00E505B1">
        <w:rPr>
          <w:rFonts w:ascii="Tahoma" w:hAnsi="Tahoma" w:cs="Tahoma"/>
          <w:sz w:val="24"/>
          <w:szCs w:val="24"/>
        </w:rPr>
        <w:t xml:space="preserve">checking that the above criteria have been </w:t>
      </w:r>
      <w:r>
        <w:rPr>
          <w:rFonts w:ascii="Tahoma" w:hAnsi="Tahoma" w:cs="Tahoma"/>
          <w:sz w:val="24"/>
          <w:szCs w:val="24"/>
        </w:rPr>
        <w:t>met</w:t>
      </w:r>
      <w:r w:rsidR="00381133" w:rsidRPr="00E505B1">
        <w:rPr>
          <w:rFonts w:ascii="Tahoma" w:hAnsi="Tahoma" w:cs="Tahoma"/>
          <w:sz w:val="24"/>
          <w:szCs w:val="24"/>
        </w:rPr>
        <w:t xml:space="preserve"> and grouping similar projects together to achieve regional consistency and avoid duplication</w:t>
      </w:r>
    </w:p>
    <w:p w:rsidR="00381133" w:rsidRDefault="00381133" w:rsidP="009F2C37">
      <w:pPr>
        <w:rPr>
          <w:rFonts w:ascii="Tahoma" w:hAnsi="Tahoma" w:cs="Tahoma"/>
          <w:sz w:val="24"/>
          <w:szCs w:val="24"/>
        </w:rPr>
      </w:pPr>
    </w:p>
    <w:p w:rsidR="00381133" w:rsidRPr="00381133" w:rsidRDefault="00381133" w:rsidP="00381133">
      <w:pPr>
        <w:pStyle w:val="ListParagraph"/>
        <w:numPr>
          <w:ilvl w:val="0"/>
          <w:numId w:val="29"/>
        </w:numPr>
        <w:rPr>
          <w:rFonts w:ascii="Tahoma" w:hAnsi="Tahoma" w:cs="Tahoma"/>
          <w:sz w:val="24"/>
          <w:szCs w:val="24"/>
        </w:rPr>
      </w:pPr>
      <w:r w:rsidRPr="00381133">
        <w:rPr>
          <w:rFonts w:ascii="Tahoma" w:hAnsi="Tahoma" w:cs="Tahoma"/>
          <w:sz w:val="24"/>
          <w:szCs w:val="24"/>
        </w:rPr>
        <w:t>In respect of Capital funding:</w:t>
      </w:r>
    </w:p>
    <w:p w:rsidR="00381133" w:rsidRPr="00381133" w:rsidRDefault="00381133" w:rsidP="00381133">
      <w:pPr>
        <w:pStyle w:val="ListParagraph"/>
        <w:numPr>
          <w:ilvl w:val="0"/>
          <w:numId w:val="32"/>
        </w:numPr>
        <w:rPr>
          <w:rFonts w:ascii="Tahoma" w:hAnsi="Tahoma" w:cs="Tahoma"/>
          <w:sz w:val="24"/>
          <w:szCs w:val="24"/>
        </w:rPr>
      </w:pPr>
      <w:r w:rsidRPr="00381133">
        <w:rPr>
          <w:rFonts w:ascii="Tahoma" w:hAnsi="Tahoma" w:cs="Tahoma"/>
          <w:sz w:val="24"/>
          <w:szCs w:val="24"/>
        </w:rPr>
        <w:t xml:space="preserve">Establish a regional approach </w:t>
      </w:r>
      <w:r w:rsidR="00E505B1">
        <w:rPr>
          <w:rFonts w:ascii="Tahoma" w:hAnsi="Tahoma" w:cs="Tahoma"/>
          <w:sz w:val="24"/>
          <w:szCs w:val="24"/>
        </w:rPr>
        <w:t>for initial exploration of</w:t>
      </w:r>
      <w:r w:rsidRPr="00381133">
        <w:rPr>
          <w:rFonts w:ascii="Tahoma" w:hAnsi="Tahoma" w:cs="Tahoma"/>
          <w:sz w:val="24"/>
          <w:szCs w:val="24"/>
        </w:rPr>
        <w:t xml:space="preserve"> the potential use of existing ICF Capital and the new Capital funding stream </w:t>
      </w:r>
      <w:r w:rsidR="00E505B1">
        <w:rPr>
          <w:rFonts w:ascii="Tahoma" w:hAnsi="Tahoma" w:cs="Tahoma"/>
          <w:sz w:val="24"/>
          <w:szCs w:val="24"/>
        </w:rPr>
        <w:t>for</w:t>
      </w:r>
      <w:r w:rsidRPr="00381133">
        <w:rPr>
          <w:rFonts w:ascii="Tahoma" w:hAnsi="Tahoma" w:cs="Tahoma"/>
          <w:sz w:val="24"/>
          <w:szCs w:val="24"/>
        </w:rPr>
        <w:t xml:space="preserve"> large-scale pan-regional projects</w:t>
      </w:r>
    </w:p>
    <w:p w:rsidR="00381133" w:rsidRDefault="00381133" w:rsidP="009F2C37">
      <w:pPr>
        <w:rPr>
          <w:rFonts w:ascii="Tahoma" w:hAnsi="Tahoma" w:cs="Tahoma"/>
          <w:sz w:val="24"/>
          <w:szCs w:val="24"/>
        </w:rPr>
      </w:pPr>
    </w:p>
    <w:p w:rsidR="00381133" w:rsidRPr="00381133" w:rsidRDefault="00381133" w:rsidP="00381133">
      <w:pPr>
        <w:pStyle w:val="ListParagraph"/>
        <w:numPr>
          <w:ilvl w:val="0"/>
          <w:numId w:val="29"/>
        </w:numPr>
        <w:rPr>
          <w:rFonts w:ascii="Tahoma" w:hAnsi="Tahoma" w:cs="Tahoma"/>
          <w:sz w:val="24"/>
          <w:szCs w:val="24"/>
        </w:rPr>
      </w:pPr>
      <w:r w:rsidRPr="00381133">
        <w:rPr>
          <w:rFonts w:ascii="Tahoma" w:hAnsi="Tahoma" w:cs="Tahoma"/>
          <w:sz w:val="24"/>
          <w:szCs w:val="24"/>
        </w:rPr>
        <w:t>Submit revenue and Capital programmes for sign-off by RPB in April 2018.</w:t>
      </w:r>
    </w:p>
    <w:p w:rsidR="00B076CA" w:rsidRDefault="00B076CA" w:rsidP="00B076CA">
      <w:pPr>
        <w:rPr>
          <w:rFonts w:ascii="Tahoma" w:hAnsi="Tahoma" w:cs="Tahoma"/>
          <w:sz w:val="24"/>
          <w:szCs w:val="24"/>
        </w:rPr>
      </w:pPr>
    </w:p>
    <w:sectPr w:rsidR="00B076CA">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5A51" w:rsidRDefault="002F5A51" w:rsidP="002F5A51">
      <w:r>
        <w:separator/>
      </w:r>
    </w:p>
  </w:endnote>
  <w:endnote w:type="continuationSeparator" w:id="0">
    <w:p w:rsidR="002F5A51" w:rsidRDefault="002F5A51" w:rsidP="002F5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7643832"/>
      <w:docPartObj>
        <w:docPartGallery w:val="Page Numbers (Bottom of Page)"/>
        <w:docPartUnique/>
      </w:docPartObj>
    </w:sdtPr>
    <w:sdtEndPr>
      <w:rPr>
        <w:noProof/>
      </w:rPr>
    </w:sdtEndPr>
    <w:sdtContent>
      <w:p w:rsidR="002F5A51" w:rsidRDefault="002F5A51">
        <w:pPr>
          <w:pStyle w:val="Footer"/>
          <w:jc w:val="right"/>
        </w:pPr>
        <w:r>
          <w:fldChar w:fldCharType="begin"/>
        </w:r>
        <w:r>
          <w:instrText xml:space="preserve"> PAGE   \* MERGEFORMAT </w:instrText>
        </w:r>
        <w:r>
          <w:fldChar w:fldCharType="separate"/>
        </w:r>
        <w:r w:rsidR="00DC20A7">
          <w:rPr>
            <w:noProof/>
          </w:rPr>
          <w:t>1</w:t>
        </w:r>
        <w:r>
          <w:rPr>
            <w:noProof/>
          </w:rPr>
          <w:fldChar w:fldCharType="end"/>
        </w:r>
      </w:p>
    </w:sdtContent>
  </w:sdt>
  <w:p w:rsidR="002F5A51" w:rsidRDefault="002F5A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5A51" w:rsidRDefault="002F5A51" w:rsidP="002F5A51">
      <w:r>
        <w:separator/>
      </w:r>
    </w:p>
  </w:footnote>
  <w:footnote w:type="continuationSeparator" w:id="0">
    <w:p w:rsidR="002F5A51" w:rsidRDefault="002F5A51" w:rsidP="002F5A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A3AE7"/>
    <w:multiLevelType w:val="hybridMultilevel"/>
    <w:tmpl w:val="D166AED0"/>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4B241BB"/>
    <w:multiLevelType w:val="hybridMultilevel"/>
    <w:tmpl w:val="E5CEC74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Times New Roman"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Times New Roman"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Times New Roman"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08607D34"/>
    <w:multiLevelType w:val="hybridMultilevel"/>
    <w:tmpl w:val="F8382F12"/>
    <w:lvl w:ilvl="0" w:tplc="A96AF894">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EC67A22"/>
    <w:multiLevelType w:val="hybridMultilevel"/>
    <w:tmpl w:val="93689784"/>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4" w15:restartNumberingAfterBreak="0">
    <w:nsid w:val="11745144"/>
    <w:multiLevelType w:val="hybridMultilevel"/>
    <w:tmpl w:val="D49CFAD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Times New Roman"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Times New Roman"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Times New Roman" w:hint="default"/>
      </w:rPr>
    </w:lvl>
    <w:lvl w:ilvl="8" w:tplc="08090005">
      <w:start w:val="1"/>
      <w:numFmt w:val="bullet"/>
      <w:lvlText w:val=""/>
      <w:lvlJc w:val="left"/>
      <w:pPr>
        <w:ind w:left="6120" w:hanging="360"/>
      </w:pPr>
      <w:rPr>
        <w:rFonts w:ascii="Wingdings" w:hAnsi="Wingdings" w:hint="default"/>
      </w:rPr>
    </w:lvl>
  </w:abstractNum>
  <w:abstractNum w:abstractNumId="5" w15:restartNumberingAfterBreak="0">
    <w:nsid w:val="13E74428"/>
    <w:multiLevelType w:val="hybridMultilevel"/>
    <w:tmpl w:val="2D3A8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104D79"/>
    <w:multiLevelType w:val="hybridMultilevel"/>
    <w:tmpl w:val="80D28824"/>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1C3A42"/>
    <w:multiLevelType w:val="hybridMultilevel"/>
    <w:tmpl w:val="5A307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AE010F"/>
    <w:multiLevelType w:val="hybridMultilevel"/>
    <w:tmpl w:val="98E0338E"/>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9" w15:restartNumberingAfterBreak="0">
    <w:nsid w:val="161733BD"/>
    <w:multiLevelType w:val="hybridMultilevel"/>
    <w:tmpl w:val="28189DE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6B35F46"/>
    <w:multiLevelType w:val="hybridMultilevel"/>
    <w:tmpl w:val="939AEF42"/>
    <w:lvl w:ilvl="0" w:tplc="311661F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B981541"/>
    <w:multiLevelType w:val="hybridMultilevel"/>
    <w:tmpl w:val="435EC9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C7E16C2"/>
    <w:multiLevelType w:val="hybridMultilevel"/>
    <w:tmpl w:val="A04E5FA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DC22846"/>
    <w:multiLevelType w:val="hybridMultilevel"/>
    <w:tmpl w:val="9BDEFF0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5A5F3C"/>
    <w:multiLevelType w:val="hybridMultilevel"/>
    <w:tmpl w:val="BCEC330E"/>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5" w15:restartNumberingAfterBreak="0">
    <w:nsid w:val="2FD23E09"/>
    <w:multiLevelType w:val="hybridMultilevel"/>
    <w:tmpl w:val="D8EEDC84"/>
    <w:lvl w:ilvl="0" w:tplc="7318E23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A8B25BC"/>
    <w:multiLevelType w:val="hybridMultilevel"/>
    <w:tmpl w:val="9F4468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1D71DA1"/>
    <w:multiLevelType w:val="hybridMultilevel"/>
    <w:tmpl w:val="C108E92A"/>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47037BFF"/>
    <w:multiLevelType w:val="hybridMultilevel"/>
    <w:tmpl w:val="E6B09A72"/>
    <w:lvl w:ilvl="0" w:tplc="A96AF894">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AC531B8"/>
    <w:multiLevelType w:val="hybridMultilevel"/>
    <w:tmpl w:val="4386CCF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4F401FE6"/>
    <w:multiLevelType w:val="hybridMultilevel"/>
    <w:tmpl w:val="32F2DC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6E00F8C"/>
    <w:multiLevelType w:val="hybridMultilevel"/>
    <w:tmpl w:val="4D40EE0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93F06D6"/>
    <w:multiLevelType w:val="hybridMultilevel"/>
    <w:tmpl w:val="F17834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9DC0579"/>
    <w:multiLevelType w:val="hybridMultilevel"/>
    <w:tmpl w:val="4090666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5DA71A48"/>
    <w:multiLevelType w:val="hybridMultilevel"/>
    <w:tmpl w:val="BED6CC6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E4C4F30"/>
    <w:multiLevelType w:val="hybridMultilevel"/>
    <w:tmpl w:val="20CC986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61F36C3A"/>
    <w:multiLevelType w:val="hybridMultilevel"/>
    <w:tmpl w:val="74FC6634"/>
    <w:lvl w:ilvl="0" w:tplc="3DBA8D7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663304F9"/>
    <w:multiLevelType w:val="hybridMultilevel"/>
    <w:tmpl w:val="E796172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6720741F"/>
    <w:multiLevelType w:val="hybridMultilevel"/>
    <w:tmpl w:val="4EB4D3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D6E6205"/>
    <w:multiLevelType w:val="hybridMultilevel"/>
    <w:tmpl w:val="53127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1BE6178"/>
    <w:multiLevelType w:val="hybridMultilevel"/>
    <w:tmpl w:val="F7F65F8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
  </w:num>
  <w:num w:numId="2">
    <w:abstractNumId w:val="27"/>
  </w:num>
  <w:num w:numId="3">
    <w:abstractNumId w:val="1"/>
  </w:num>
  <w:num w:numId="4">
    <w:abstractNumId w:val="1"/>
  </w:num>
  <w:num w:numId="5">
    <w:abstractNumId w:val="11"/>
  </w:num>
  <w:num w:numId="6">
    <w:abstractNumId w:val="19"/>
  </w:num>
  <w:num w:numId="7">
    <w:abstractNumId w:val="20"/>
  </w:num>
  <w:num w:numId="8">
    <w:abstractNumId w:val="21"/>
  </w:num>
  <w:num w:numId="9">
    <w:abstractNumId w:val="9"/>
  </w:num>
  <w:num w:numId="10">
    <w:abstractNumId w:val="8"/>
  </w:num>
  <w:num w:numId="11">
    <w:abstractNumId w:val="25"/>
  </w:num>
  <w:num w:numId="12">
    <w:abstractNumId w:val="22"/>
  </w:num>
  <w:num w:numId="13">
    <w:abstractNumId w:val="24"/>
  </w:num>
  <w:num w:numId="14">
    <w:abstractNumId w:val="30"/>
  </w:num>
  <w:num w:numId="15">
    <w:abstractNumId w:val="7"/>
  </w:num>
  <w:num w:numId="16">
    <w:abstractNumId w:val="3"/>
  </w:num>
  <w:num w:numId="17">
    <w:abstractNumId w:val="29"/>
  </w:num>
  <w:num w:numId="18">
    <w:abstractNumId w:val="26"/>
  </w:num>
  <w:num w:numId="19">
    <w:abstractNumId w:val="14"/>
  </w:num>
  <w:num w:numId="20">
    <w:abstractNumId w:val="6"/>
  </w:num>
  <w:num w:numId="21">
    <w:abstractNumId w:val="13"/>
  </w:num>
  <w:num w:numId="22">
    <w:abstractNumId w:val="18"/>
  </w:num>
  <w:num w:numId="23">
    <w:abstractNumId w:val="23"/>
  </w:num>
  <w:num w:numId="24">
    <w:abstractNumId w:val="2"/>
  </w:num>
  <w:num w:numId="25">
    <w:abstractNumId w:val="16"/>
  </w:num>
  <w:num w:numId="26">
    <w:abstractNumId w:val="28"/>
  </w:num>
  <w:num w:numId="27">
    <w:abstractNumId w:val="12"/>
  </w:num>
  <w:num w:numId="28">
    <w:abstractNumId w:val="5"/>
  </w:num>
  <w:num w:numId="29">
    <w:abstractNumId w:val="15"/>
  </w:num>
  <w:num w:numId="30">
    <w:abstractNumId w:val="0"/>
  </w:num>
  <w:num w:numId="31">
    <w:abstractNumId w:val="10"/>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47E"/>
    <w:rsid w:val="000413C9"/>
    <w:rsid w:val="00043C63"/>
    <w:rsid w:val="00060CB4"/>
    <w:rsid w:val="000C754B"/>
    <w:rsid w:val="001E5EE3"/>
    <w:rsid w:val="00256C77"/>
    <w:rsid w:val="00286FF8"/>
    <w:rsid w:val="002F5A51"/>
    <w:rsid w:val="003447F3"/>
    <w:rsid w:val="00381133"/>
    <w:rsid w:val="00412E28"/>
    <w:rsid w:val="004D3A93"/>
    <w:rsid w:val="004D60F3"/>
    <w:rsid w:val="00511BE1"/>
    <w:rsid w:val="00513EB7"/>
    <w:rsid w:val="005179D6"/>
    <w:rsid w:val="00534662"/>
    <w:rsid w:val="005C2B74"/>
    <w:rsid w:val="005C6D38"/>
    <w:rsid w:val="005E29B3"/>
    <w:rsid w:val="00721A87"/>
    <w:rsid w:val="00746260"/>
    <w:rsid w:val="00765850"/>
    <w:rsid w:val="007E0356"/>
    <w:rsid w:val="0085393E"/>
    <w:rsid w:val="00874EF1"/>
    <w:rsid w:val="008909E2"/>
    <w:rsid w:val="009651DE"/>
    <w:rsid w:val="009E0B03"/>
    <w:rsid w:val="009F2C37"/>
    <w:rsid w:val="00A12065"/>
    <w:rsid w:val="00A449CC"/>
    <w:rsid w:val="00A70FB1"/>
    <w:rsid w:val="00A75E86"/>
    <w:rsid w:val="00B076CA"/>
    <w:rsid w:val="00B70F7C"/>
    <w:rsid w:val="00BC347E"/>
    <w:rsid w:val="00BD14DE"/>
    <w:rsid w:val="00C6144A"/>
    <w:rsid w:val="00DC20A7"/>
    <w:rsid w:val="00DD5515"/>
    <w:rsid w:val="00DE1CF1"/>
    <w:rsid w:val="00DF6B2A"/>
    <w:rsid w:val="00E31686"/>
    <w:rsid w:val="00E505B1"/>
    <w:rsid w:val="00EC7601"/>
    <w:rsid w:val="00FC0906"/>
    <w:rsid w:val="00FF2E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C7CD4D-0ACD-442E-B573-8418963F5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heme="minorHAnsi" w:hAnsi="Tahoma" w:cs="Tahoma"/>
        <w:sz w:val="24"/>
        <w:szCs w:val="24"/>
        <w:lang w:val="en-GB"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47E"/>
    <w:pPr>
      <w:spacing w:after="0"/>
    </w:pPr>
    <w:rPr>
      <w:rFonts w:asciiTheme="minorHAnsi" w:eastAsia="Times New Roman" w:hAnsiTheme="minorHAnsi" w:cs="Times New Roman"/>
      <w:sz w:val="22"/>
      <w:szCs w:val="22"/>
    </w:rPr>
  </w:style>
  <w:style w:type="paragraph" w:styleId="Heading1">
    <w:name w:val="heading 1"/>
    <w:basedOn w:val="Normal"/>
    <w:next w:val="Normal"/>
    <w:link w:val="Heading1Char"/>
    <w:qFormat/>
    <w:rsid w:val="002F5A51"/>
    <w:pPr>
      <w:keepNext/>
      <w:jc w:val="both"/>
      <w:outlineLvl w:val="0"/>
    </w:pPr>
    <w:rPr>
      <w:rFonts w:ascii="Arial" w:hAnsi="Arial"/>
      <w:b/>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C347E"/>
    <w:rPr>
      <w:rFonts w:ascii="Times New Roman" w:hAnsi="Times New Roman" w:cs="Times New Roman" w:hint="default"/>
      <w:color w:val="0563C1" w:themeColor="hyperlink"/>
      <w:u w:val="single"/>
    </w:rPr>
  </w:style>
  <w:style w:type="paragraph" w:styleId="ListParagraph">
    <w:name w:val="List Paragraph"/>
    <w:basedOn w:val="Normal"/>
    <w:uiPriority w:val="34"/>
    <w:qFormat/>
    <w:rsid w:val="00BC347E"/>
    <w:pPr>
      <w:ind w:left="720"/>
    </w:pPr>
  </w:style>
  <w:style w:type="paragraph" w:styleId="Header">
    <w:name w:val="header"/>
    <w:basedOn w:val="Normal"/>
    <w:link w:val="HeaderChar"/>
    <w:uiPriority w:val="99"/>
    <w:unhideWhenUsed/>
    <w:rsid w:val="002F5A51"/>
    <w:pPr>
      <w:tabs>
        <w:tab w:val="center" w:pos="4513"/>
        <w:tab w:val="right" w:pos="9026"/>
      </w:tabs>
    </w:pPr>
  </w:style>
  <w:style w:type="character" w:customStyle="1" w:styleId="HeaderChar">
    <w:name w:val="Header Char"/>
    <w:basedOn w:val="DefaultParagraphFont"/>
    <w:link w:val="Header"/>
    <w:uiPriority w:val="99"/>
    <w:rsid w:val="002F5A51"/>
    <w:rPr>
      <w:rFonts w:asciiTheme="minorHAnsi" w:eastAsia="Times New Roman" w:hAnsiTheme="minorHAnsi" w:cs="Times New Roman"/>
      <w:sz w:val="22"/>
      <w:szCs w:val="22"/>
    </w:rPr>
  </w:style>
  <w:style w:type="paragraph" w:styleId="Footer">
    <w:name w:val="footer"/>
    <w:basedOn w:val="Normal"/>
    <w:link w:val="FooterChar"/>
    <w:uiPriority w:val="99"/>
    <w:unhideWhenUsed/>
    <w:rsid w:val="002F5A51"/>
    <w:pPr>
      <w:tabs>
        <w:tab w:val="center" w:pos="4513"/>
        <w:tab w:val="right" w:pos="9026"/>
      </w:tabs>
    </w:pPr>
  </w:style>
  <w:style w:type="character" w:customStyle="1" w:styleId="FooterChar">
    <w:name w:val="Footer Char"/>
    <w:basedOn w:val="DefaultParagraphFont"/>
    <w:link w:val="Footer"/>
    <w:uiPriority w:val="99"/>
    <w:rsid w:val="002F5A51"/>
    <w:rPr>
      <w:rFonts w:asciiTheme="minorHAnsi" w:eastAsia="Times New Roman" w:hAnsiTheme="minorHAnsi" w:cs="Times New Roman"/>
      <w:sz w:val="22"/>
      <w:szCs w:val="22"/>
    </w:rPr>
  </w:style>
  <w:style w:type="character" w:customStyle="1" w:styleId="Heading1Char">
    <w:name w:val="Heading 1 Char"/>
    <w:basedOn w:val="DefaultParagraphFont"/>
    <w:link w:val="Heading1"/>
    <w:rsid w:val="002F5A51"/>
    <w:rPr>
      <w:rFonts w:ascii="Arial" w:eastAsia="Times New Roman" w:hAnsi="Arial" w:cs="Times New Roman"/>
      <w:b/>
      <w:sz w:val="22"/>
      <w:szCs w:val="20"/>
      <w:lang w:eastAsia="en-GB"/>
    </w:rPr>
  </w:style>
  <w:style w:type="paragraph" w:styleId="BalloonText">
    <w:name w:val="Balloon Text"/>
    <w:basedOn w:val="Normal"/>
    <w:link w:val="BalloonTextChar"/>
    <w:uiPriority w:val="99"/>
    <w:semiHidden/>
    <w:unhideWhenUsed/>
    <w:rsid w:val="00EC76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7601"/>
    <w:rPr>
      <w:rFonts w:ascii="Segoe UI" w:eastAsia="Times New Roman" w:hAnsi="Segoe UI" w:cs="Segoe UI"/>
      <w:sz w:val="18"/>
      <w:szCs w:val="18"/>
    </w:rPr>
  </w:style>
  <w:style w:type="table" w:styleId="TableGrid">
    <w:name w:val="Table Grid"/>
    <w:basedOn w:val="TableNormal"/>
    <w:uiPriority w:val="59"/>
    <w:rsid w:val="00DD5515"/>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952521">
      <w:bodyDiv w:val="1"/>
      <w:marLeft w:val="0"/>
      <w:marRight w:val="0"/>
      <w:marTop w:val="0"/>
      <w:marBottom w:val="0"/>
      <w:divBdr>
        <w:top w:val="none" w:sz="0" w:space="0" w:color="auto"/>
        <w:left w:val="none" w:sz="0" w:space="0" w:color="auto"/>
        <w:bottom w:val="none" w:sz="0" w:space="0" w:color="auto"/>
        <w:right w:val="none" w:sz="0" w:space="0" w:color="auto"/>
      </w:divBdr>
    </w:div>
    <w:div w:id="739518627">
      <w:bodyDiv w:val="1"/>
      <w:marLeft w:val="0"/>
      <w:marRight w:val="0"/>
      <w:marTop w:val="0"/>
      <w:marBottom w:val="0"/>
      <w:divBdr>
        <w:top w:val="none" w:sz="0" w:space="0" w:color="auto"/>
        <w:left w:val="none" w:sz="0" w:space="0" w:color="auto"/>
        <w:bottom w:val="none" w:sz="0" w:space="0" w:color="auto"/>
        <w:right w:val="none" w:sz="0" w:space="0" w:color="auto"/>
      </w:divBdr>
    </w:div>
    <w:div w:id="1275092018">
      <w:bodyDiv w:val="1"/>
      <w:marLeft w:val="0"/>
      <w:marRight w:val="0"/>
      <w:marTop w:val="0"/>
      <w:marBottom w:val="0"/>
      <w:divBdr>
        <w:top w:val="none" w:sz="0" w:space="0" w:color="auto"/>
        <w:left w:val="none" w:sz="0" w:space="0" w:color="auto"/>
        <w:bottom w:val="none" w:sz="0" w:space="0" w:color="auto"/>
        <w:right w:val="none" w:sz="0" w:space="0" w:color="auto"/>
      </w:divBdr>
    </w:div>
    <w:div w:id="1607158470">
      <w:bodyDiv w:val="1"/>
      <w:marLeft w:val="0"/>
      <w:marRight w:val="0"/>
      <w:marTop w:val="0"/>
      <w:marBottom w:val="0"/>
      <w:divBdr>
        <w:top w:val="none" w:sz="0" w:space="0" w:color="auto"/>
        <w:left w:val="none" w:sz="0" w:space="0" w:color="auto"/>
        <w:bottom w:val="none" w:sz="0" w:space="0" w:color="auto"/>
        <w:right w:val="none" w:sz="0" w:space="0" w:color="auto"/>
      </w:divBdr>
    </w:div>
    <w:div w:id="1860846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3</Pages>
  <Words>872</Words>
  <Characters>4976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Carmarthenshire County Council</Company>
  <LinksUpToDate>false</LinksUpToDate>
  <CharactersWithSpaces>5837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Martyn J Palfreman</dc:creator>
  <cp:keywords/>
  <dc:description/>
  <cp:lastModifiedBy>Martyn J Palfreman</cp:lastModifiedBy>
  <cp:revision>8</cp:revision>
  <cp:lastPrinted>2017-11-29T11:12:00Z</cp:lastPrinted>
  <dcterms:created xsi:type="dcterms:W3CDTF">2017-11-29T16:35:00Z</dcterms:created>
  <dcterms:modified xsi:type="dcterms:W3CDTF">2017-12-01T08:40:00Z</dcterms:modified>
</cp:coreProperties>
</file>