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Pr="00FF1625" w:rsidRDefault="00F44077" w:rsidP="00FF162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4552950</wp:posOffset>
                </wp:positionH>
                <wp:positionV relativeFrom="paragraph">
                  <wp:posOffset>-371475</wp:posOffset>
                </wp:positionV>
                <wp:extent cx="18573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8573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077" w:rsidRPr="00BD2BC7" w:rsidRDefault="00EE3E6B">
                            <w:pPr>
                              <w:rPr>
                                <w:rFonts w:ascii="Tahoma" w:hAnsi="Tahoma" w:cs="Tahoma"/>
                                <w:b/>
                                <w:sz w:val="32"/>
                                <w:szCs w:val="32"/>
                              </w:rPr>
                            </w:pPr>
                            <w:r>
                              <w:rPr>
                                <w:rFonts w:ascii="Tahoma" w:hAnsi="Tahoma" w:cs="Tahoma"/>
                                <w:b/>
                                <w:sz w:val="32"/>
                                <w:szCs w:val="32"/>
                              </w:rPr>
                              <w:t xml:space="preserve">Item </w:t>
                            </w:r>
                            <w:r w:rsidR="008F7357">
                              <w:rPr>
                                <w:rFonts w:ascii="Tahoma" w:hAnsi="Tahoma" w:cs="Tahoma"/>
                                <w:b/>
                                <w:sz w:val="32"/>
                                <w:szCs w:val="32"/>
                              </w:rPr>
                              <w:t>11 (4)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29.25pt;width:146.2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RwQiwIAAIoFAAAOAAAAZHJzL2Uyb0RvYy54bWysVE1PGzEQvVfqf7B8L5uEBGjEBqUgqkoI&#10;UKHi7HhtsqrtcW0nu+mvZ8a7+SjlQtXLru15M+N5fjPnF601bK1CrMGVfHg04Ew5CVXtnkv+4/H6&#10;0xlnMQlXCQNOlXyjIr+Yffxw3vipGsESTKUCwyAuThtf8mVKfloUUS6VFfEIvHJo1BCsSLgNz0UV&#10;RIPRrSlGg8FJ0UCofACpYsTTq87IZzm+1kqmO62jSsyUHO+W8jfk74K+xexcTJ+D8Mta9tcQ/3AL&#10;K2qHSXehrkQSbBXqv0LZWgaIoNORBFuA1rVUuQasZjh4Vc3DUniVa0Fyot/RFP9fWHm7vg+srko+&#10;4swJi0/0qNrEvkDLRsRO4+MUQQ8eYanFY3zl7XnEQyq61cHSH8thaEeeNztuKZgkp7PJ6fHphDOJ&#10;tslkNJ5k8ou9tw8xfVVgGS1KHvDtMqVifRMT3gShWwgli2Dq6ro2Jm9IL+rSBLYW+NIm5Tuixx8o&#10;41hT8pNjTE1ODsi9i2wcnaismD4dVd5VmFdpYxRhjPuuNDKWC30jt5BSuV3+jCaUxlTvcezx+1u9&#10;x7mrAz1yZnBp52xrByFXn1tsT1n1c0uZ7vBI+EHdtEztou0VsYBqg4II0DVU9PK6xle7ETHdi4Ad&#10;hBrAqZDu8KMNIOvQrzhbQvj91jnhUdho5azBjix5/LUSQXFmvjmU/OfheEwtnDfjyekIN+HQsji0&#10;uJW9BJTCEOePl3lJ+GS2Sx3APuHwmFNWNAknMXfJ03Z5mbo5gcNHqvk8g7BpvUg37sFLCk30kiYf&#10;2ycRfC/chJK/hW3viukr/XZY8nQwXyXQdRY3Edyx2hOPDZ813w8nmiiH+4zaj9DZCwAAAP//AwBQ&#10;SwMEFAAGAAgAAAAhAKw7o/jiAAAACwEAAA8AAABkcnMvZG93bnJldi54bWxMj81OwzAQhO9IvIO1&#10;SFxQ67RVSAnZVAjxI/VGQ4u4ufGSRMTrKHaT8Pa4J7jt7oxmv8k2k2nFQL1rLCMs5hEI4tLqhiuE&#10;9+J5tgbhvGKtWsuE8EMONvnlRaZSbUd+o2HnKxFC2KUKofa+S6V0ZU1GubntiIP2ZXujfFj7Supe&#10;jSHctHIZRbfSqIbDh1p19FhT+b07GYTPm+pj66aX/biKV93T61AkB10gXl9ND/cgPE3+zwxn/IAO&#10;eWA62hNrJ1qEZJGELh5hFq9jEGdHFN2F6YiwDBeZZ/J/h/wXAAD//wMAUEsBAi0AFAAGAAgAAAAh&#10;ALaDOJL+AAAA4QEAABMAAAAAAAAAAAAAAAAAAAAAAFtDb250ZW50X1R5cGVzXS54bWxQSwECLQAU&#10;AAYACAAAACEAOP0h/9YAAACUAQAACwAAAAAAAAAAAAAAAAAvAQAAX3JlbHMvLnJlbHNQSwECLQAU&#10;AAYACAAAACEAu+0cEIsCAACKBQAADgAAAAAAAAAAAAAAAAAuAgAAZHJzL2Uyb0RvYy54bWxQSwEC&#10;LQAUAAYACAAAACEArDuj+OIAAAALAQAADwAAAAAAAAAAAAAAAADlBAAAZHJzL2Rvd25yZXYueG1s&#10;UEsFBgAAAAAEAAQA8wAAAPQFAAAAAA==&#10;" fillcolor="white [3201]" stroked="f" strokeweight=".5pt">
                <v:textbox>
                  <w:txbxContent>
                    <w:p w:rsidR="00F44077" w:rsidRPr="00BD2BC7" w:rsidRDefault="00EE3E6B">
                      <w:pPr>
                        <w:rPr>
                          <w:rFonts w:ascii="Tahoma" w:hAnsi="Tahoma" w:cs="Tahoma"/>
                          <w:b/>
                          <w:sz w:val="32"/>
                          <w:szCs w:val="32"/>
                        </w:rPr>
                      </w:pPr>
                      <w:r>
                        <w:rPr>
                          <w:rFonts w:ascii="Tahoma" w:hAnsi="Tahoma" w:cs="Tahoma"/>
                          <w:b/>
                          <w:sz w:val="32"/>
                          <w:szCs w:val="32"/>
                        </w:rPr>
                        <w:t xml:space="preserve">Item </w:t>
                      </w:r>
                      <w:r w:rsidR="008F7357">
                        <w:rPr>
                          <w:rFonts w:ascii="Tahoma" w:hAnsi="Tahoma" w:cs="Tahoma"/>
                          <w:b/>
                          <w:sz w:val="32"/>
                          <w:szCs w:val="32"/>
                        </w:rPr>
                        <w:t>11 (4)</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E35A23A" wp14:editId="1A9D718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44077" w:rsidRPr="002353ED" w:rsidRDefault="00F44077">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35A23A" id="Text Box 1"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F44077" w:rsidRPr="002353ED" w:rsidRDefault="00F44077">
                      <w:pPr>
                        <w:rPr>
                          <w:noProof/>
                        </w:rPr>
                      </w:pPr>
                    </w:p>
                  </w:txbxContent>
                </v:textbox>
                <w10:wrap type="square"/>
              </v:shape>
            </w:pict>
          </mc:Fallback>
        </mc:AlternateContent>
      </w:r>
      <w:r w:rsidRPr="00CC4A20">
        <w:rPr>
          <w:noProof/>
          <w:lang w:eastAsia="en-GB"/>
        </w:rPr>
        <w:drawing>
          <wp:anchor distT="0" distB="0" distL="114300" distR="114300" simplePos="0" relativeHeight="251662336" behindDoc="0" locked="0" layoutInCell="1" allowOverlap="1" wp14:anchorId="1BA8169D" wp14:editId="1A784866">
            <wp:simplePos x="0" y="0"/>
            <wp:positionH relativeFrom="margin">
              <wp:align>left</wp:align>
            </wp:positionH>
            <wp:positionV relativeFrom="margin">
              <wp:posOffset>-28575</wp:posOffset>
            </wp:positionV>
            <wp:extent cx="2362200" cy="971550"/>
            <wp:effectExtent l="0" t="0" r="0" b="0"/>
            <wp:wrapSquare wrapText="bothSides"/>
            <wp:docPr id="3" name="Picture 1" descr="cid:image002.jpg@01D28181.7F306CD0"/>
            <wp:cNvGraphicFramePr/>
            <a:graphic xmlns:a="http://schemas.openxmlformats.org/drawingml/2006/main">
              <a:graphicData uri="http://schemas.openxmlformats.org/drawingml/2006/picture">
                <pic:pic xmlns:pic="http://schemas.openxmlformats.org/drawingml/2006/picture">
                  <pic:nvPicPr>
                    <pic:cNvPr id="0" name="Picture 1" descr="cid:image002.jpg@01D28181.7F306CD0"/>
                    <pic:cNvPicPr>
                      <a:picLocks noChangeAspect="1" noChangeArrowheads="1"/>
                    </pic:cNvPicPr>
                  </pic:nvPicPr>
                  <pic:blipFill>
                    <a:blip r:embed="rId7" cstate="print"/>
                    <a:srcRect/>
                    <a:stretch>
                      <a:fillRect/>
                    </a:stretch>
                  </pic:blipFill>
                  <pic:spPr bwMode="auto">
                    <a:xfrm>
                      <a:off x="0" y="0"/>
                      <a:ext cx="2362200" cy="971550"/>
                    </a:xfrm>
                    <a:prstGeom prst="rect">
                      <a:avLst/>
                    </a:prstGeom>
                    <a:noFill/>
                    <a:ln w="9525">
                      <a:noFill/>
                      <a:miter lim="800000"/>
                      <a:headEnd/>
                      <a:tailEnd/>
                    </a:ln>
                  </pic:spPr>
                </pic:pic>
              </a:graphicData>
            </a:graphic>
          </wp:anchor>
        </w:drawing>
      </w:r>
    </w:p>
    <w:p w:rsidR="00FF1625" w:rsidRPr="00FF1625" w:rsidRDefault="00FF1625" w:rsidP="00FF1625"/>
    <w:p w:rsidR="00FF1625" w:rsidRDefault="00FF1625" w:rsidP="00FF1625"/>
    <w:p w:rsidR="00F77B8A" w:rsidRDefault="00FF1625" w:rsidP="00FF1625">
      <w:pPr>
        <w:spacing w:before="240" w:after="120"/>
        <w:jc w:val="center"/>
        <w:rPr>
          <w:rFonts w:ascii="Tahoma" w:hAnsi="Tahoma" w:cs="Tahoma"/>
          <w:b/>
          <w:sz w:val="28"/>
          <w:szCs w:val="28"/>
        </w:rPr>
      </w:pPr>
      <w:r w:rsidRPr="00F77B8A">
        <w:rPr>
          <w:rFonts w:ascii="Tahoma" w:hAnsi="Tahoma" w:cs="Tahoma"/>
          <w:b/>
          <w:sz w:val="28"/>
          <w:szCs w:val="28"/>
        </w:rPr>
        <w:tab/>
      </w:r>
    </w:p>
    <w:p w:rsidR="00FF1625" w:rsidRPr="00524893" w:rsidRDefault="00453E5C" w:rsidP="00FF1625">
      <w:pPr>
        <w:tabs>
          <w:tab w:val="left" w:pos="2280"/>
        </w:tabs>
        <w:jc w:val="center"/>
        <w:rPr>
          <w:rFonts w:ascii="Tahoma" w:hAnsi="Tahoma" w:cs="Tahoma"/>
          <w:b/>
          <w:sz w:val="28"/>
          <w:szCs w:val="28"/>
        </w:rPr>
      </w:pPr>
      <w:r>
        <w:rPr>
          <w:rFonts w:ascii="Tahoma" w:hAnsi="Tahoma" w:cs="Tahoma"/>
          <w:b/>
          <w:bCs/>
          <w:color w:val="000000" w:themeColor="text1"/>
          <w:kern w:val="32"/>
          <w:sz w:val="28"/>
          <w:szCs w:val="28"/>
        </w:rPr>
        <w:t xml:space="preserve">Exception Report: </w:t>
      </w:r>
      <w:r w:rsidR="00F77B8A" w:rsidRPr="00F77B8A">
        <w:rPr>
          <w:rFonts w:ascii="Tahoma" w:hAnsi="Tahoma" w:cs="Tahoma"/>
          <w:b/>
          <w:sz w:val="28"/>
          <w:szCs w:val="28"/>
        </w:rPr>
        <w:t xml:space="preserve">Service Integration and Pooled Funds </w:t>
      </w:r>
    </w:p>
    <w:tbl>
      <w:tblPr>
        <w:tblStyle w:val="TableGrid"/>
        <w:tblW w:w="10206" w:type="dxa"/>
        <w:tblInd w:w="-572" w:type="dxa"/>
        <w:tblLook w:val="04A0" w:firstRow="1" w:lastRow="0" w:firstColumn="1" w:lastColumn="0" w:noHBand="0" w:noVBand="1"/>
      </w:tblPr>
      <w:tblGrid>
        <w:gridCol w:w="3828"/>
        <w:gridCol w:w="6378"/>
      </w:tblGrid>
      <w:tr w:rsidR="00CF2A07" w:rsidRPr="00524893" w:rsidTr="00CF2A07">
        <w:tc>
          <w:tcPr>
            <w:tcW w:w="3828" w:type="dxa"/>
            <w:shd w:val="clear" w:color="auto" w:fill="D9D9D9" w:themeFill="background1" w:themeFillShade="D9"/>
          </w:tcPr>
          <w:p w:rsidR="00CF2A07" w:rsidRDefault="00CF2A07" w:rsidP="00524893">
            <w:pPr>
              <w:tabs>
                <w:tab w:val="left" w:pos="2280"/>
              </w:tabs>
              <w:rPr>
                <w:rFonts w:ascii="Tahoma" w:hAnsi="Tahoma" w:cs="Tahoma"/>
                <w:bCs/>
                <w:sz w:val="23"/>
                <w:szCs w:val="23"/>
              </w:rPr>
            </w:pPr>
            <w:r>
              <w:rPr>
                <w:rFonts w:ascii="Tahoma" w:hAnsi="Tahoma" w:cs="Tahoma"/>
                <w:bCs/>
                <w:sz w:val="23"/>
                <w:szCs w:val="23"/>
              </w:rPr>
              <w:t>Summary of Project</w:t>
            </w:r>
          </w:p>
        </w:tc>
        <w:tc>
          <w:tcPr>
            <w:tcW w:w="6378" w:type="dxa"/>
            <w:shd w:val="clear" w:color="auto" w:fill="auto"/>
          </w:tcPr>
          <w:p w:rsidR="00CF2A07" w:rsidRDefault="00B6666D" w:rsidP="00CF2A07">
            <w:pPr>
              <w:tabs>
                <w:tab w:val="left" w:pos="2280"/>
              </w:tabs>
              <w:rPr>
                <w:rFonts w:ascii="Tahoma" w:hAnsi="Tahoma" w:cs="Tahoma"/>
              </w:rPr>
            </w:pPr>
            <w:r>
              <w:rPr>
                <w:rFonts w:ascii="Tahoma" w:hAnsi="Tahoma" w:cs="Tahoma"/>
              </w:rPr>
              <w:t>Service integration and the establishment pooled funds is a Regional Partnership Board priority, in response to Social Services and Well-being (Wales) Act 2016</w:t>
            </w:r>
            <w:r w:rsidR="007E41E1">
              <w:rPr>
                <w:rFonts w:ascii="Tahoma" w:hAnsi="Tahoma" w:cs="Tahoma"/>
              </w:rPr>
              <w:t xml:space="preserve"> (SSWBA)</w:t>
            </w:r>
            <w:r>
              <w:rPr>
                <w:rFonts w:ascii="Tahoma" w:hAnsi="Tahoma" w:cs="Tahoma"/>
              </w:rPr>
              <w:t>.</w:t>
            </w:r>
          </w:p>
          <w:p w:rsidR="00B6666D" w:rsidRDefault="00B6666D" w:rsidP="00CF2A07">
            <w:pPr>
              <w:tabs>
                <w:tab w:val="left" w:pos="2280"/>
              </w:tabs>
              <w:rPr>
                <w:rFonts w:ascii="Tahoma" w:hAnsi="Tahoma" w:cs="Tahoma"/>
              </w:rPr>
            </w:pPr>
          </w:p>
          <w:p w:rsidR="00B6666D" w:rsidRDefault="00825BA3" w:rsidP="00CF2A07">
            <w:pPr>
              <w:tabs>
                <w:tab w:val="left" w:pos="2280"/>
              </w:tabs>
              <w:rPr>
                <w:rFonts w:ascii="Tahoma" w:hAnsi="Tahoma" w:cs="Tahoma"/>
              </w:rPr>
            </w:pPr>
            <w:r>
              <w:rPr>
                <w:rFonts w:ascii="Tahoma" w:hAnsi="Tahoma" w:cs="Tahoma"/>
              </w:rPr>
              <w:t>A programme manager has been appointed to co-ordinate activity along three key lines.</w:t>
            </w:r>
          </w:p>
          <w:p w:rsidR="00825BA3" w:rsidRDefault="00825BA3" w:rsidP="00CF2A07">
            <w:pPr>
              <w:tabs>
                <w:tab w:val="left" w:pos="2280"/>
              </w:tabs>
              <w:rPr>
                <w:rFonts w:ascii="Tahoma" w:hAnsi="Tahoma" w:cs="Tahoma"/>
              </w:rPr>
            </w:pPr>
          </w:p>
          <w:p w:rsidR="00825BA3" w:rsidRDefault="00825BA3" w:rsidP="00CF2A07">
            <w:pPr>
              <w:tabs>
                <w:tab w:val="left" w:pos="2280"/>
              </w:tabs>
              <w:rPr>
                <w:rFonts w:ascii="Tahoma" w:hAnsi="Tahoma" w:cs="Tahoma"/>
              </w:rPr>
            </w:pPr>
            <w:r>
              <w:rPr>
                <w:rFonts w:ascii="Tahoma" w:hAnsi="Tahoma" w:cs="Tahoma"/>
              </w:rPr>
              <w:t>Firstly, work is taking place to establish pooled funds for care home provision (older adults, initially)</w:t>
            </w:r>
            <w:r w:rsidR="00C57945">
              <w:rPr>
                <w:rFonts w:ascii="Tahoma" w:hAnsi="Tahoma" w:cs="Tahoma"/>
              </w:rPr>
              <w:t>, combining the relevant budgets of Health and Social Care</w:t>
            </w:r>
            <w:r w:rsidR="0012169D">
              <w:rPr>
                <w:rFonts w:ascii="Tahoma" w:hAnsi="Tahoma" w:cs="Tahoma"/>
              </w:rPr>
              <w:t xml:space="preserve">.  The ambition is to drive </w:t>
            </w:r>
            <w:r w:rsidR="007414DC">
              <w:rPr>
                <w:rFonts w:ascii="Tahoma" w:hAnsi="Tahoma" w:cs="Tahoma"/>
              </w:rPr>
              <w:t xml:space="preserve">associated </w:t>
            </w:r>
            <w:r w:rsidR="0012169D">
              <w:rPr>
                <w:rFonts w:ascii="Tahoma" w:hAnsi="Tahoma" w:cs="Tahoma"/>
              </w:rPr>
              <w:t xml:space="preserve">integrated </w:t>
            </w:r>
            <w:r w:rsidR="007414DC">
              <w:rPr>
                <w:rFonts w:ascii="Tahoma" w:hAnsi="Tahoma" w:cs="Tahoma"/>
              </w:rPr>
              <w:t xml:space="preserve">regional </w:t>
            </w:r>
            <w:r w:rsidR="0012169D">
              <w:rPr>
                <w:rFonts w:ascii="Tahoma" w:hAnsi="Tahoma" w:cs="Tahoma"/>
              </w:rPr>
              <w:t>commissioning arrangements</w:t>
            </w:r>
            <w:r w:rsidR="007414DC">
              <w:rPr>
                <w:rFonts w:ascii="Tahoma" w:hAnsi="Tahoma" w:cs="Tahoma"/>
              </w:rPr>
              <w:t>.</w:t>
            </w:r>
          </w:p>
          <w:p w:rsidR="007414DC" w:rsidRDefault="007414DC" w:rsidP="00CF2A07">
            <w:pPr>
              <w:tabs>
                <w:tab w:val="left" w:pos="2280"/>
              </w:tabs>
              <w:rPr>
                <w:rFonts w:ascii="Tahoma" w:hAnsi="Tahoma" w:cs="Tahoma"/>
              </w:rPr>
            </w:pPr>
          </w:p>
          <w:p w:rsidR="007414DC" w:rsidRDefault="007414DC" w:rsidP="00CF2A07">
            <w:pPr>
              <w:tabs>
                <w:tab w:val="left" w:pos="2280"/>
              </w:tabs>
              <w:rPr>
                <w:rFonts w:ascii="Tahoma" w:hAnsi="Tahoma" w:cs="Tahoma"/>
              </w:rPr>
            </w:pPr>
            <w:r>
              <w:rPr>
                <w:rFonts w:ascii="Tahoma" w:hAnsi="Tahoma" w:cs="Tahoma"/>
              </w:rPr>
              <w:t xml:space="preserve">Secondly, attention is focused on developing pooled funds </w:t>
            </w:r>
            <w:r w:rsidR="00FD53E0">
              <w:rPr>
                <w:rFonts w:ascii="Tahoma" w:hAnsi="Tahoma" w:cs="Tahoma"/>
              </w:rPr>
              <w:t>in relation to short term and intermediate care for older people, with an initial emphasis on Carmarthenshire, as ‘pacesetter’ for the Region.</w:t>
            </w:r>
          </w:p>
          <w:p w:rsidR="00FD53E0" w:rsidRDefault="00FD53E0" w:rsidP="00CF2A07">
            <w:pPr>
              <w:tabs>
                <w:tab w:val="left" w:pos="2280"/>
              </w:tabs>
              <w:rPr>
                <w:rFonts w:ascii="Tahoma" w:hAnsi="Tahoma" w:cs="Tahoma"/>
              </w:rPr>
            </w:pPr>
          </w:p>
          <w:p w:rsidR="00BA12A3" w:rsidRDefault="00FD53E0" w:rsidP="002E5226">
            <w:pPr>
              <w:tabs>
                <w:tab w:val="left" w:pos="2280"/>
              </w:tabs>
              <w:rPr>
                <w:rFonts w:ascii="Tahoma" w:hAnsi="Tahoma" w:cs="Tahoma"/>
              </w:rPr>
            </w:pPr>
            <w:r>
              <w:rPr>
                <w:rFonts w:ascii="Tahoma" w:hAnsi="Tahoma" w:cs="Tahoma"/>
              </w:rPr>
              <w:t xml:space="preserve">Thirdly, opportunities to bring about extended integration (which may involve pooled funds) </w:t>
            </w:r>
            <w:r w:rsidR="00937972">
              <w:rPr>
                <w:rFonts w:ascii="Tahoma" w:hAnsi="Tahoma" w:cs="Tahoma"/>
              </w:rPr>
              <w:t>are being</w:t>
            </w:r>
            <w:r w:rsidR="006D4EF7">
              <w:rPr>
                <w:rFonts w:ascii="Tahoma" w:hAnsi="Tahoma" w:cs="Tahoma"/>
              </w:rPr>
              <w:t xml:space="preserve"> explored.  Structures are </w:t>
            </w:r>
            <w:r>
              <w:rPr>
                <w:rFonts w:ascii="Tahoma" w:hAnsi="Tahoma" w:cs="Tahoma"/>
              </w:rPr>
              <w:t xml:space="preserve">in place to take forward work in relation to Integrated Family Support Teams and Integrated Community Equipment Stores.  The Regional ambition is to consider </w:t>
            </w:r>
            <w:r w:rsidR="006837A9">
              <w:rPr>
                <w:rFonts w:ascii="Tahoma" w:hAnsi="Tahoma" w:cs="Tahoma"/>
              </w:rPr>
              <w:t xml:space="preserve">and develop </w:t>
            </w:r>
            <w:r>
              <w:rPr>
                <w:rFonts w:ascii="Tahoma" w:hAnsi="Tahoma" w:cs="Tahoma"/>
              </w:rPr>
              <w:t>a wider range of pooled fund arrangements.</w:t>
            </w:r>
          </w:p>
        </w:tc>
      </w:tr>
      <w:tr w:rsidR="00EE3E6B" w:rsidRPr="00524893" w:rsidTr="00CF2A07">
        <w:tc>
          <w:tcPr>
            <w:tcW w:w="3828" w:type="dxa"/>
            <w:shd w:val="clear" w:color="auto" w:fill="D9D9D9" w:themeFill="background1" w:themeFillShade="D9"/>
          </w:tcPr>
          <w:p w:rsidR="00EE3E6B" w:rsidRDefault="00EE3E6B" w:rsidP="00524893">
            <w:pPr>
              <w:tabs>
                <w:tab w:val="left" w:pos="2280"/>
              </w:tabs>
              <w:rPr>
                <w:rFonts w:ascii="Tahoma" w:hAnsi="Tahoma" w:cs="Tahoma"/>
                <w:bCs/>
                <w:sz w:val="23"/>
                <w:szCs w:val="23"/>
              </w:rPr>
            </w:pPr>
            <w:r>
              <w:rPr>
                <w:rFonts w:ascii="Tahoma" w:hAnsi="Tahoma" w:cs="Tahoma"/>
                <w:bCs/>
                <w:sz w:val="23"/>
                <w:szCs w:val="23"/>
              </w:rPr>
              <w:t>Period covered by the report</w:t>
            </w:r>
          </w:p>
        </w:tc>
        <w:tc>
          <w:tcPr>
            <w:tcW w:w="6378" w:type="dxa"/>
            <w:shd w:val="clear" w:color="auto" w:fill="auto"/>
          </w:tcPr>
          <w:p w:rsidR="00EE3E6B" w:rsidRDefault="00EE3E6B" w:rsidP="00CF2A07">
            <w:pPr>
              <w:tabs>
                <w:tab w:val="left" w:pos="2280"/>
              </w:tabs>
              <w:rPr>
                <w:rFonts w:ascii="Tahoma" w:hAnsi="Tahoma" w:cs="Tahoma"/>
              </w:rPr>
            </w:pPr>
            <w:r>
              <w:rPr>
                <w:rFonts w:ascii="Tahoma" w:hAnsi="Tahoma" w:cs="Tahoma"/>
              </w:rPr>
              <w:t>Quarter 3 October – December 2017</w:t>
            </w:r>
          </w:p>
        </w:tc>
      </w:tr>
      <w:tr w:rsidR="00524893" w:rsidRPr="00524893" w:rsidTr="008403F1">
        <w:tc>
          <w:tcPr>
            <w:tcW w:w="3828" w:type="dxa"/>
            <w:shd w:val="clear" w:color="auto" w:fill="D9D9D9" w:themeFill="background1" w:themeFillShade="D9"/>
          </w:tcPr>
          <w:p w:rsidR="00524893" w:rsidRPr="00524893" w:rsidRDefault="00524893" w:rsidP="00524893">
            <w:pPr>
              <w:tabs>
                <w:tab w:val="left" w:pos="2280"/>
              </w:tabs>
              <w:rPr>
                <w:rFonts w:ascii="Tahoma" w:hAnsi="Tahoma" w:cs="Tahoma"/>
              </w:rPr>
            </w:pPr>
            <w:r>
              <w:rPr>
                <w:rFonts w:ascii="Tahoma" w:hAnsi="Tahoma" w:cs="Tahoma"/>
                <w:bCs/>
                <w:sz w:val="23"/>
                <w:szCs w:val="23"/>
              </w:rPr>
              <w:t>S</w:t>
            </w:r>
            <w:r w:rsidRPr="00524893">
              <w:rPr>
                <w:rFonts w:ascii="Tahoma" w:hAnsi="Tahoma" w:cs="Tahoma"/>
                <w:bCs/>
                <w:sz w:val="23"/>
                <w:szCs w:val="23"/>
              </w:rPr>
              <w:t xml:space="preserve">ummary of overall status </w:t>
            </w:r>
          </w:p>
        </w:tc>
        <w:tc>
          <w:tcPr>
            <w:tcW w:w="6378" w:type="dxa"/>
            <w:shd w:val="clear" w:color="auto" w:fill="FFC000"/>
          </w:tcPr>
          <w:p w:rsidR="006D63DA" w:rsidRDefault="006837A9" w:rsidP="00937972">
            <w:pPr>
              <w:tabs>
                <w:tab w:val="left" w:pos="2280"/>
              </w:tabs>
              <w:rPr>
                <w:rFonts w:ascii="Tahoma" w:hAnsi="Tahoma" w:cs="Tahoma"/>
              </w:rPr>
            </w:pPr>
            <w:r>
              <w:rPr>
                <w:rFonts w:ascii="Tahoma" w:hAnsi="Tahoma" w:cs="Tahoma"/>
              </w:rPr>
              <w:t>Progress continues to be made with the Programme.  Under the auspices of the Service Integration and Pooled Funds Programme Board, work is being driven through the Care Home Working Group, and Regional Integrated Community Equipment Store Working Group.</w:t>
            </w:r>
          </w:p>
          <w:p w:rsidR="007E41E1" w:rsidRDefault="007E41E1" w:rsidP="00937972">
            <w:pPr>
              <w:tabs>
                <w:tab w:val="left" w:pos="2280"/>
              </w:tabs>
              <w:rPr>
                <w:rFonts w:ascii="Tahoma" w:hAnsi="Tahoma" w:cs="Tahoma"/>
              </w:rPr>
            </w:pPr>
          </w:p>
          <w:p w:rsidR="007E41E1" w:rsidRPr="00524893" w:rsidRDefault="007E41E1" w:rsidP="00937972">
            <w:pPr>
              <w:tabs>
                <w:tab w:val="left" w:pos="2280"/>
              </w:tabs>
              <w:rPr>
                <w:rFonts w:ascii="Tahoma" w:hAnsi="Tahoma" w:cs="Tahoma"/>
              </w:rPr>
            </w:pPr>
            <w:r>
              <w:rPr>
                <w:rFonts w:ascii="Tahoma" w:hAnsi="Tahoma" w:cs="Tahoma"/>
              </w:rPr>
              <w:t>Significant progress is being made, particularly in respect of meeting requirements under part 9 of the SSWBA for care home pooled funds and associated commissioning arrangements.</w:t>
            </w:r>
            <w:r w:rsidR="00EE3E6B">
              <w:rPr>
                <w:rFonts w:ascii="Tahoma" w:hAnsi="Tahoma" w:cs="Tahoma"/>
              </w:rPr>
              <w:t xml:space="preserve">  In particular, advanced drafts of legal agreements for care homes and Family Support Services have been prepared.  A tender exercise has been devised for the regional review of Integrated Community Equipment stores</w:t>
            </w:r>
          </w:p>
        </w:tc>
      </w:tr>
      <w:tr w:rsidR="00722777" w:rsidTr="008403F1">
        <w:tc>
          <w:tcPr>
            <w:tcW w:w="3828" w:type="dxa"/>
            <w:shd w:val="clear" w:color="auto" w:fill="D9D9D9" w:themeFill="background1" w:themeFillShade="D9"/>
          </w:tcPr>
          <w:p w:rsidR="00722777" w:rsidRDefault="00722777" w:rsidP="00524893">
            <w:pPr>
              <w:tabs>
                <w:tab w:val="left" w:pos="2280"/>
              </w:tabs>
              <w:rPr>
                <w:rFonts w:ascii="Tahoma" w:hAnsi="Tahoma" w:cs="Tahoma"/>
              </w:rPr>
            </w:pPr>
            <w:r>
              <w:rPr>
                <w:rFonts w:ascii="Tahoma" w:hAnsi="Tahoma" w:cs="Tahoma"/>
              </w:rPr>
              <w:t>Key Risks</w:t>
            </w:r>
          </w:p>
        </w:tc>
        <w:tc>
          <w:tcPr>
            <w:tcW w:w="6378" w:type="dxa"/>
          </w:tcPr>
          <w:p w:rsidR="005651FC" w:rsidRPr="00757BB3" w:rsidRDefault="005651FC" w:rsidP="005651FC">
            <w:pPr>
              <w:pStyle w:val="ListParagraph"/>
              <w:numPr>
                <w:ilvl w:val="0"/>
                <w:numId w:val="1"/>
              </w:numPr>
              <w:rPr>
                <w:rFonts w:ascii="Arial" w:hAnsi="Arial" w:cs="Arial"/>
                <w:sz w:val="24"/>
                <w:szCs w:val="24"/>
              </w:rPr>
            </w:pPr>
            <w:r w:rsidRPr="00757BB3">
              <w:rPr>
                <w:rFonts w:ascii="Arial" w:hAnsi="Arial" w:cs="Arial"/>
                <w:sz w:val="24"/>
                <w:szCs w:val="24"/>
              </w:rPr>
              <w:t>Failure to meet the statutory deadline for care home pooled funds.</w:t>
            </w:r>
          </w:p>
          <w:p w:rsidR="005651FC" w:rsidRPr="00757BB3" w:rsidRDefault="005651FC" w:rsidP="005651FC">
            <w:pPr>
              <w:pStyle w:val="ListParagraph"/>
              <w:numPr>
                <w:ilvl w:val="0"/>
                <w:numId w:val="1"/>
              </w:numPr>
              <w:rPr>
                <w:rFonts w:ascii="Arial" w:hAnsi="Arial" w:cs="Arial"/>
                <w:sz w:val="24"/>
                <w:szCs w:val="24"/>
              </w:rPr>
            </w:pPr>
            <w:r w:rsidRPr="00757BB3">
              <w:rPr>
                <w:rFonts w:ascii="Arial" w:hAnsi="Arial" w:cs="Arial"/>
                <w:sz w:val="24"/>
                <w:szCs w:val="24"/>
              </w:rPr>
              <w:t>Lack of consideration of impact on corporate services (e.g., finance, commissioning, audit, governance arrangements).</w:t>
            </w:r>
          </w:p>
          <w:p w:rsidR="00F0264F" w:rsidRDefault="005651FC" w:rsidP="00F66F6D">
            <w:pPr>
              <w:pStyle w:val="ListParagraph"/>
              <w:numPr>
                <w:ilvl w:val="0"/>
                <w:numId w:val="1"/>
              </w:numPr>
              <w:rPr>
                <w:rFonts w:ascii="Arial" w:hAnsi="Arial" w:cs="Arial"/>
                <w:sz w:val="24"/>
                <w:szCs w:val="24"/>
              </w:rPr>
            </w:pPr>
            <w:r w:rsidRPr="00F0264F">
              <w:rPr>
                <w:rFonts w:ascii="Arial" w:hAnsi="Arial" w:cs="Arial"/>
                <w:sz w:val="24"/>
                <w:szCs w:val="24"/>
              </w:rPr>
              <w:lastRenderedPageBreak/>
              <w:t>Difficulties establishing a realisti</w:t>
            </w:r>
            <w:r w:rsidR="00F0264F">
              <w:rPr>
                <w:rFonts w:ascii="Arial" w:hAnsi="Arial" w:cs="Arial"/>
                <w:sz w:val="24"/>
                <w:szCs w:val="24"/>
              </w:rPr>
              <w:t>c baseline budget.</w:t>
            </w:r>
          </w:p>
          <w:p w:rsidR="005651FC" w:rsidRPr="00F0264F" w:rsidRDefault="005651FC" w:rsidP="00F66F6D">
            <w:pPr>
              <w:pStyle w:val="ListParagraph"/>
              <w:numPr>
                <w:ilvl w:val="0"/>
                <w:numId w:val="1"/>
              </w:numPr>
              <w:rPr>
                <w:rFonts w:ascii="Arial" w:hAnsi="Arial" w:cs="Arial"/>
                <w:sz w:val="24"/>
                <w:szCs w:val="24"/>
              </w:rPr>
            </w:pPr>
            <w:r w:rsidRPr="00F0264F">
              <w:rPr>
                <w:rFonts w:ascii="Arial" w:hAnsi="Arial" w:cs="Arial"/>
                <w:sz w:val="24"/>
                <w:szCs w:val="24"/>
              </w:rPr>
              <w:t>Overspends.</w:t>
            </w:r>
          </w:p>
          <w:p w:rsidR="005651FC" w:rsidRPr="00757BB3" w:rsidRDefault="005651FC" w:rsidP="005651FC">
            <w:pPr>
              <w:pStyle w:val="ListParagraph"/>
              <w:numPr>
                <w:ilvl w:val="0"/>
                <w:numId w:val="1"/>
              </w:numPr>
              <w:rPr>
                <w:rFonts w:ascii="Arial" w:hAnsi="Arial" w:cs="Arial"/>
                <w:sz w:val="24"/>
                <w:szCs w:val="24"/>
              </w:rPr>
            </w:pPr>
            <w:r w:rsidRPr="00757BB3">
              <w:rPr>
                <w:rFonts w:ascii="Arial" w:hAnsi="Arial" w:cs="Arial"/>
                <w:sz w:val="24"/>
                <w:szCs w:val="24"/>
              </w:rPr>
              <w:t>Budget cuts.</w:t>
            </w:r>
          </w:p>
          <w:p w:rsidR="005651FC" w:rsidRPr="00757BB3" w:rsidRDefault="005651FC" w:rsidP="005651FC">
            <w:pPr>
              <w:pStyle w:val="ListParagraph"/>
              <w:numPr>
                <w:ilvl w:val="0"/>
                <w:numId w:val="1"/>
              </w:numPr>
              <w:rPr>
                <w:rFonts w:ascii="Arial" w:hAnsi="Arial" w:cs="Arial"/>
                <w:sz w:val="24"/>
                <w:szCs w:val="24"/>
              </w:rPr>
            </w:pPr>
            <w:r w:rsidRPr="00757BB3">
              <w:rPr>
                <w:rFonts w:ascii="Arial" w:hAnsi="Arial" w:cs="Arial"/>
                <w:sz w:val="24"/>
                <w:szCs w:val="24"/>
              </w:rPr>
              <w:t>Control of budget / service.</w:t>
            </w:r>
          </w:p>
          <w:p w:rsidR="0009267D" w:rsidRDefault="005651FC" w:rsidP="005651FC">
            <w:pPr>
              <w:pStyle w:val="ListParagraph"/>
              <w:numPr>
                <w:ilvl w:val="0"/>
                <w:numId w:val="1"/>
              </w:numPr>
              <w:rPr>
                <w:rFonts w:ascii="Tahoma" w:hAnsi="Tahoma" w:cs="Tahoma"/>
              </w:rPr>
            </w:pPr>
            <w:r w:rsidRPr="00757BB3">
              <w:rPr>
                <w:rFonts w:ascii="Arial" w:hAnsi="Arial" w:cs="Arial"/>
                <w:sz w:val="24"/>
                <w:szCs w:val="24"/>
              </w:rPr>
              <w:t>Financial benefits disproportionately gained by one partner.</w:t>
            </w:r>
          </w:p>
        </w:tc>
      </w:tr>
      <w:tr w:rsidR="00722777" w:rsidTr="008403F1">
        <w:tc>
          <w:tcPr>
            <w:tcW w:w="3828" w:type="dxa"/>
            <w:shd w:val="clear" w:color="auto" w:fill="D9D9D9" w:themeFill="background1" w:themeFillShade="D9"/>
          </w:tcPr>
          <w:p w:rsidR="00722777" w:rsidRDefault="00722777" w:rsidP="00524893">
            <w:pPr>
              <w:tabs>
                <w:tab w:val="left" w:pos="2280"/>
              </w:tabs>
              <w:rPr>
                <w:rFonts w:ascii="Tahoma" w:hAnsi="Tahoma" w:cs="Tahoma"/>
              </w:rPr>
            </w:pPr>
            <w:r>
              <w:rPr>
                <w:rFonts w:ascii="Tahoma" w:hAnsi="Tahoma" w:cs="Tahoma"/>
              </w:rPr>
              <w:lastRenderedPageBreak/>
              <w:t xml:space="preserve">Key Issues </w:t>
            </w:r>
          </w:p>
        </w:tc>
        <w:tc>
          <w:tcPr>
            <w:tcW w:w="6378" w:type="dxa"/>
          </w:tcPr>
          <w:p w:rsidR="00675F1A" w:rsidRDefault="0022102F" w:rsidP="00EC3FC3">
            <w:pPr>
              <w:tabs>
                <w:tab w:val="left" w:pos="2280"/>
              </w:tabs>
              <w:rPr>
                <w:rFonts w:ascii="Tahoma" w:hAnsi="Tahoma" w:cs="Tahoma"/>
              </w:rPr>
            </w:pPr>
            <w:r>
              <w:rPr>
                <w:rFonts w:ascii="Tahoma" w:hAnsi="Tahoma" w:cs="Tahoma"/>
              </w:rPr>
              <w:t xml:space="preserve">The Programme will resolve significant issues including: establishing a realistic budget; agreeing hosting arrangements; </w:t>
            </w:r>
            <w:r w:rsidR="008F32B1">
              <w:rPr>
                <w:rFonts w:ascii="Tahoma" w:hAnsi="Tahoma" w:cs="Tahoma"/>
              </w:rPr>
              <w:t xml:space="preserve">aligning commissioning and purchasing arrangements; </w:t>
            </w:r>
            <w:r>
              <w:rPr>
                <w:rFonts w:ascii="Tahoma" w:hAnsi="Tahoma" w:cs="Tahoma"/>
              </w:rPr>
              <w:t xml:space="preserve">and </w:t>
            </w:r>
            <w:r w:rsidR="0009267D">
              <w:rPr>
                <w:rFonts w:ascii="Tahoma" w:hAnsi="Tahoma" w:cs="Tahoma"/>
              </w:rPr>
              <w:t>establishing appropriate</w:t>
            </w:r>
            <w:r>
              <w:rPr>
                <w:rFonts w:ascii="Tahoma" w:hAnsi="Tahoma" w:cs="Tahoma"/>
              </w:rPr>
              <w:t xml:space="preserve"> governance arrangements for the fund once operational.</w:t>
            </w:r>
          </w:p>
          <w:p w:rsidR="00675F1A" w:rsidRDefault="00675F1A" w:rsidP="00BC65D5">
            <w:pPr>
              <w:tabs>
                <w:tab w:val="left" w:pos="2280"/>
              </w:tabs>
              <w:rPr>
                <w:rFonts w:ascii="Tahoma" w:hAnsi="Tahoma" w:cs="Tahoma"/>
              </w:rPr>
            </w:pPr>
            <w:r>
              <w:rPr>
                <w:rFonts w:ascii="Tahoma" w:hAnsi="Tahoma" w:cs="Tahoma"/>
              </w:rPr>
              <w:t xml:space="preserve">Successful implementation of integration initiatives within the Programme will require organisations to </w:t>
            </w:r>
            <w:r w:rsidR="00BC65D5">
              <w:rPr>
                <w:rFonts w:ascii="Tahoma" w:hAnsi="Tahoma" w:cs="Tahoma"/>
              </w:rPr>
              <w:t>respond positively to new ways of working.</w:t>
            </w:r>
          </w:p>
        </w:tc>
      </w:tr>
      <w:tr w:rsidR="00722777" w:rsidTr="008403F1">
        <w:tc>
          <w:tcPr>
            <w:tcW w:w="3828" w:type="dxa"/>
            <w:shd w:val="clear" w:color="auto" w:fill="D9D9D9" w:themeFill="background1" w:themeFillShade="D9"/>
          </w:tcPr>
          <w:p w:rsidR="00722777" w:rsidRDefault="00722777" w:rsidP="00524893">
            <w:pPr>
              <w:tabs>
                <w:tab w:val="left" w:pos="2280"/>
              </w:tabs>
              <w:rPr>
                <w:rFonts w:ascii="Tahoma" w:hAnsi="Tahoma" w:cs="Tahoma"/>
              </w:rPr>
            </w:pPr>
            <w:r>
              <w:rPr>
                <w:rFonts w:ascii="Tahoma" w:hAnsi="Tahoma" w:cs="Tahoma"/>
              </w:rPr>
              <w:t xml:space="preserve">Key Milestones </w:t>
            </w:r>
          </w:p>
        </w:tc>
        <w:tc>
          <w:tcPr>
            <w:tcW w:w="6378" w:type="dxa"/>
          </w:tcPr>
          <w:p w:rsidR="008403F1" w:rsidRDefault="00037F60" w:rsidP="00CE729D">
            <w:pPr>
              <w:tabs>
                <w:tab w:val="left" w:pos="2280"/>
              </w:tabs>
              <w:spacing w:after="142"/>
              <w:rPr>
                <w:rFonts w:ascii="Tahoma" w:hAnsi="Tahoma" w:cs="Tahoma"/>
              </w:rPr>
            </w:pPr>
            <w:r>
              <w:rPr>
                <w:rFonts w:ascii="Tahoma" w:hAnsi="Tahoma" w:cs="Tahoma"/>
              </w:rPr>
              <w:t>Finalise pooled fund agreements for organisational sign off– December / January 2018</w:t>
            </w:r>
          </w:p>
          <w:p w:rsidR="008403F1" w:rsidRDefault="000D3841" w:rsidP="00CE729D">
            <w:pPr>
              <w:tabs>
                <w:tab w:val="left" w:pos="2280"/>
              </w:tabs>
              <w:spacing w:after="142"/>
              <w:rPr>
                <w:rFonts w:ascii="Tahoma" w:hAnsi="Tahoma" w:cs="Tahoma"/>
              </w:rPr>
            </w:pPr>
            <w:r>
              <w:rPr>
                <w:rFonts w:ascii="Tahoma" w:hAnsi="Tahoma" w:cs="Tahoma"/>
              </w:rPr>
              <w:t>Pooled funds for care homes for older people operational – April 2018</w:t>
            </w:r>
            <w:r w:rsidR="008403F1">
              <w:rPr>
                <w:rFonts w:ascii="Tahoma" w:hAnsi="Tahoma" w:cs="Tahoma"/>
              </w:rPr>
              <w:t xml:space="preserve"> </w:t>
            </w:r>
          </w:p>
          <w:p w:rsidR="00642CC8" w:rsidRDefault="00642CC8" w:rsidP="00CE729D">
            <w:pPr>
              <w:tabs>
                <w:tab w:val="left" w:pos="2280"/>
              </w:tabs>
              <w:spacing w:after="142"/>
              <w:rPr>
                <w:rFonts w:ascii="Tahoma" w:hAnsi="Tahoma" w:cs="Tahoma"/>
              </w:rPr>
            </w:pPr>
            <w:r>
              <w:rPr>
                <w:rFonts w:ascii="Tahoma" w:hAnsi="Tahoma" w:cs="Tahoma"/>
              </w:rPr>
              <w:t>Integrated community equipment stores – undertake options appraisal – February 2018</w:t>
            </w:r>
          </w:p>
        </w:tc>
      </w:tr>
      <w:tr w:rsidR="00722777" w:rsidRPr="00722777" w:rsidTr="008403F1">
        <w:tc>
          <w:tcPr>
            <w:tcW w:w="3828" w:type="dxa"/>
            <w:shd w:val="clear" w:color="auto" w:fill="D9D9D9" w:themeFill="background1" w:themeFillShade="D9"/>
          </w:tcPr>
          <w:p w:rsidR="00722777" w:rsidRPr="00722777" w:rsidRDefault="00722777" w:rsidP="00524893">
            <w:pPr>
              <w:tabs>
                <w:tab w:val="left" w:pos="2280"/>
              </w:tabs>
              <w:rPr>
                <w:rFonts w:ascii="Tahoma" w:hAnsi="Tahoma" w:cs="Tahoma"/>
              </w:rPr>
            </w:pPr>
            <w:r w:rsidRPr="00722777">
              <w:rPr>
                <w:rFonts w:ascii="Tahoma" w:hAnsi="Tahoma" w:cs="Tahoma"/>
                <w:bCs/>
              </w:rPr>
              <w:t>Milestones achieved/Outputs (deliverables) completed in last period</w:t>
            </w:r>
          </w:p>
        </w:tc>
        <w:tc>
          <w:tcPr>
            <w:tcW w:w="6378" w:type="dxa"/>
          </w:tcPr>
          <w:p w:rsidR="00FF406E" w:rsidRDefault="00EE3E6B" w:rsidP="00FF406E">
            <w:pPr>
              <w:rPr>
                <w:rFonts w:ascii="Tahoma" w:hAnsi="Tahoma" w:cs="Tahoma"/>
              </w:rPr>
            </w:pPr>
            <w:r>
              <w:rPr>
                <w:rFonts w:ascii="Tahoma" w:hAnsi="Tahoma" w:cs="Tahoma"/>
              </w:rPr>
              <w:t xml:space="preserve">In-principle decision paper for consideration by partner organisations </w:t>
            </w:r>
            <w:r w:rsidR="00642CC8">
              <w:rPr>
                <w:rFonts w:ascii="Tahoma" w:hAnsi="Tahoma" w:cs="Tahoma"/>
              </w:rPr>
              <w:t>–</w:t>
            </w:r>
            <w:r w:rsidR="00675ADF" w:rsidRPr="00BC576A">
              <w:rPr>
                <w:rFonts w:ascii="Tahoma" w:hAnsi="Tahoma" w:cs="Tahoma"/>
              </w:rPr>
              <w:t xml:space="preserve"> complete</w:t>
            </w:r>
            <w:r w:rsidR="00FF406E">
              <w:rPr>
                <w:rFonts w:ascii="Tahoma" w:hAnsi="Tahoma" w:cs="Tahoma"/>
              </w:rPr>
              <w:t>.</w:t>
            </w:r>
          </w:p>
          <w:p w:rsidR="00D27174" w:rsidRDefault="00D27174" w:rsidP="00FF406E">
            <w:pPr>
              <w:rPr>
                <w:rFonts w:ascii="Tahoma" w:hAnsi="Tahoma" w:cs="Tahoma"/>
              </w:rPr>
            </w:pPr>
          </w:p>
          <w:p w:rsidR="00642CC8" w:rsidRDefault="00642CC8" w:rsidP="00642CC8">
            <w:pPr>
              <w:pStyle w:val="Default"/>
              <w:spacing w:after="142"/>
              <w:rPr>
                <w:rFonts w:ascii="Tahoma" w:hAnsi="Tahoma" w:cs="Tahoma"/>
                <w:color w:val="auto"/>
                <w:sz w:val="22"/>
                <w:szCs w:val="22"/>
              </w:rPr>
            </w:pPr>
            <w:r>
              <w:rPr>
                <w:rFonts w:ascii="Tahoma" w:hAnsi="Tahoma" w:cs="Tahoma"/>
                <w:color w:val="auto"/>
                <w:sz w:val="22"/>
                <w:szCs w:val="22"/>
              </w:rPr>
              <w:t>Baseline care home budget contributions as part of corporate budget arrangements – complete</w:t>
            </w:r>
            <w:r w:rsidR="00FF406E">
              <w:rPr>
                <w:rFonts w:ascii="Tahoma" w:hAnsi="Tahoma" w:cs="Tahoma"/>
                <w:color w:val="auto"/>
                <w:sz w:val="22"/>
                <w:szCs w:val="22"/>
              </w:rPr>
              <w:t>.</w:t>
            </w:r>
          </w:p>
          <w:p w:rsidR="00FF406E" w:rsidRDefault="00D27174" w:rsidP="00642CC8">
            <w:pPr>
              <w:pStyle w:val="Default"/>
              <w:spacing w:after="142"/>
              <w:rPr>
                <w:rFonts w:ascii="Tahoma" w:hAnsi="Tahoma" w:cs="Tahoma"/>
                <w:color w:val="auto"/>
                <w:sz w:val="22"/>
                <w:szCs w:val="22"/>
              </w:rPr>
            </w:pPr>
            <w:r>
              <w:rPr>
                <w:rFonts w:ascii="Tahoma" w:hAnsi="Tahoma" w:cs="Tahoma"/>
                <w:color w:val="auto"/>
                <w:sz w:val="22"/>
                <w:szCs w:val="22"/>
              </w:rPr>
              <w:t>Integrated Community Equipment S</w:t>
            </w:r>
            <w:r w:rsidR="002246D3">
              <w:rPr>
                <w:rFonts w:ascii="Tahoma" w:hAnsi="Tahoma" w:cs="Tahoma"/>
                <w:color w:val="auto"/>
                <w:sz w:val="22"/>
                <w:szCs w:val="22"/>
              </w:rPr>
              <w:t>tores: draw up tender exercise</w:t>
            </w:r>
            <w:r w:rsidR="00FF406E">
              <w:rPr>
                <w:rFonts w:ascii="Tahoma" w:hAnsi="Tahoma" w:cs="Tahoma"/>
                <w:color w:val="auto"/>
                <w:sz w:val="22"/>
                <w:szCs w:val="22"/>
              </w:rPr>
              <w:t>– complete</w:t>
            </w:r>
          </w:p>
          <w:p w:rsidR="00FF406E" w:rsidRDefault="00BE6CD4" w:rsidP="00642CC8">
            <w:pPr>
              <w:pStyle w:val="Default"/>
              <w:spacing w:after="142"/>
              <w:rPr>
                <w:rFonts w:ascii="Tahoma" w:hAnsi="Tahoma" w:cs="Tahoma"/>
                <w:color w:val="auto"/>
                <w:sz w:val="22"/>
                <w:szCs w:val="22"/>
              </w:rPr>
            </w:pPr>
            <w:r>
              <w:rPr>
                <w:rFonts w:ascii="Tahoma" w:hAnsi="Tahoma" w:cs="Tahoma"/>
                <w:color w:val="auto"/>
                <w:sz w:val="22"/>
                <w:szCs w:val="22"/>
              </w:rPr>
              <w:t>Proposal agreed</w:t>
            </w:r>
            <w:r w:rsidR="00FF406E">
              <w:rPr>
                <w:rFonts w:ascii="Tahoma" w:hAnsi="Tahoma" w:cs="Tahoma"/>
                <w:color w:val="auto"/>
                <w:sz w:val="22"/>
                <w:szCs w:val="22"/>
              </w:rPr>
              <w:t xml:space="preserve"> for pooling Integrated Family Support Teams on a Regional basis - complete</w:t>
            </w:r>
          </w:p>
          <w:p w:rsidR="00642CC8" w:rsidRPr="00682CCA" w:rsidRDefault="00642CC8" w:rsidP="00BC576A"/>
        </w:tc>
      </w:tr>
      <w:tr w:rsidR="00722777" w:rsidRPr="00722777" w:rsidTr="008403F1">
        <w:tc>
          <w:tcPr>
            <w:tcW w:w="3828" w:type="dxa"/>
            <w:shd w:val="clear" w:color="auto" w:fill="D9D9D9" w:themeFill="background1" w:themeFillShade="D9"/>
          </w:tcPr>
          <w:p w:rsidR="00722777" w:rsidRPr="00682CCA" w:rsidRDefault="00722777" w:rsidP="00524893">
            <w:pPr>
              <w:tabs>
                <w:tab w:val="left" w:pos="2280"/>
              </w:tabs>
              <w:rPr>
                <w:rFonts w:ascii="Tahoma" w:hAnsi="Tahoma" w:cs="Tahoma"/>
                <w:bCs/>
              </w:rPr>
            </w:pPr>
            <w:r w:rsidRPr="00682CCA">
              <w:rPr>
                <w:rFonts w:ascii="Tahoma" w:hAnsi="Tahoma" w:cs="Tahoma"/>
                <w:bCs/>
              </w:rPr>
              <w:t>Shortfalls/Non-completions in last period</w:t>
            </w:r>
          </w:p>
        </w:tc>
        <w:tc>
          <w:tcPr>
            <w:tcW w:w="6378" w:type="dxa"/>
          </w:tcPr>
          <w:p w:rsidR="00722777" w:rsidRPr="00722777" w:rsidRDefault="00AF3B85" w:rsidP="00722777">
            <w:pPr>
              <w:pStyle w:val="Default"/>
              <w:spacing w:after="142"/>
              <w:rPr>
                <w:rFonts w:ascii="Tahoma" w:hAnsi="Tahoma" w:cs="Tahoma"/>
                <w:color w:val="808080" w:themeColor="background1" w:themeShade="80"/>
                <w:sz w:val="22"/>
                <w:szCs w:val="22"/>
              </w:rPr>
            </w:pPr>
            <w:r w:rsidRPr="00AF3B85">
              <w:rPr>
                <w:rFonts w:ascii="Tahoma" w:hAnsi="Tahoma" w:cs="Tahoma"/>
                <w:color w:val="auto"/>
                <w:sz w:val="22"/>
                <w:szCs w:val="22"/>
              </w:rPr>
              <w:t xml:space="preserve">None </w:t>
            </w:r>
          </w:p>
        </w:tc>
      </w:tr>
      <w:tr w:rsidR="00722777" w:rsidRPr="00722777" w:rsidTr="008403F1">
        <w:tc>
          <w:tcPr>
            <w:tcW w:w="3828" w:type="dxa"/>
            <w:shd w:val="clear" w:color="auto" w:fill="D9D9D9" w:themeFill="background1" w:themeFillShade="D9"/>
          </w:tcPr>
          <w:p w:rsidR="00722777" w:rsidRPr="00682CCA" w:rsidRDefault="00722777" w:rsidP="00524893">
            <w:pPr>
              <w:tabs>
                <w:tab w:val="left" w:pos="2280"/>
              </w:tabs>
              <w:rPr>
                <w:rFonts w:ascii="Tahoma" w:hAnsi="Tahoma" w:cs="Tahoma"/>
                <w:bCs/>
              </w:rPr>
            </w:pPr>
            <w:r w:rsidRPr="00682CCA">
              <w:rPr>
                <w:rFonts w:ascii="Tahoma" w:hAnsi="Tahoma" w:cs="Tahoma"/>
                <w:bCs/>
              </w:rPr>
              <w:t>Forecast for next period</w:t>
            </w:r>
          </w:p>
        </w:tc>
        <w:tc>
          <w:tcPr>
            <w:tcW w:w="6378" w:type="dxa"/>
          </w:tcPr>
          <w:p w:rsidR="002F583C" w:rsidRDefault="00FF406E" w:rsidP="003A1628">
            <w:pPr>
              <w:pStyle w:val="Default"/>
              <w:spacing w:after="142"/>
              <w:rPr>
                <w:rFonts w:ascii="Tahoma" w:hAnsi="Tahoma" w:cs="Tahoma"/>
                <w:color w:val="auto"/>
                <w:sz w:val="22"/>
                <w:szCs w:val="22"/>
              </w:rPr>
            </w:pPr>
            <w:r>
              <w:rPr>
                <w:rFonts w:ascii="Tahoma" w:hAnsi="Tahoma" w:cs="Tahoma"/>
                <w:color w:val="auto"/>
                <w:sz w:val="22"/>
                <w:szCs w:val="22"/>
              </w:rPr>
              <w:t>Advance arrangements for pooling funds for Integrated Family Support teams on a R</w:t>
            </w:r>
            <w:r w:rsidR="00D27174">
              <w:rPr>
                <w:rFonts w:ascii="Tahoma" w:hAnsi="Tahoma" w:cs="Tahoma"/>
                <w:color w:val="auto"/>
                <w:sz w:val="22"/>
                <w:szCs w:val="22"/>
              </w:rPr>
              <w:t>egional basis</w:t>
            </w:r>
            <w:r w:rsidR="00BE6CD4">
              <w:rPr>
                <w:rFonts w:ascii="Tahoma" w:hAnsi="Tahoma" w:cs="Tahoma"/>
                <w:color w:val="auto"/>
                <w:sz w:val="22"/>
                <w:szCs w:val="22"/>
              </w:rPr>
              <w:t xml:space="preserve"> – including a draft agreement for organisational sign off</w:t>
            </w:r>
            <w:r w:rsidR="00D27174">
              <w:rPr>
                <w:rFonts w:ascii="Tahoma" w:hAnsi="Tahoma" w:cs="Tahoma"/>
                <w:color w:val="auto"/>
                <w:sz w:val="22"/>
                <w:szCs w:val="22"/>
              </w:rPr>
              <w:t>, with a view to establishment from April 2018.</w:t>
            </w:r>
          </w:p>
          <w:p w:rsidR="001B180A" w:rsidRDefault="00BE6CD4" w:rsidP="003A1628">
            <w:pPr>
              <w:pStyle w:val="Default"/>
              <w:spacing w:after="142"/>
              <w:rPr>
                <w:rFonts w:ascii="Tahoma" w:hAnsi="Tahoma" w:cs="Tahoma"/>
                <w:color w:val="auto"/>
                <w:sz w:val="22"/>
                <w:szCs w:val="22"/>
              </w:rPr>
            </w:pPr>
            <w:r>
              <w:rPr>
                <w:rFonts w:ascii="Tahoma" w:hAnsi="Tahoma" w:cs="Tahoma"/>
                <w:color w:val="auto"/>
                <w:sz w:val="22"/>
                <w:szCs w:val="22"/>
              </w:rPr>
              <w:t>Engage external expertise to undertake</w:t>
            </w:r>
            <w:r w:rsidR="00D27174">
              <w:rPr>
                <w:rFonts w:ascii="Tahoma" w:hAnsi="Tahoma" w:cs="Tahoma"/>
                <w:color w:val="auto"/>
                <w:sz w:val="22"/>
                <w:szCs w:val="22"/>
              </w:rPr>
              <w:t xml:space="preserve"> Integrated Community E</w:t>
            </w:r>
            <w:r w:rsidR="001B180A">
              <w:rPr>
                <w:rFonts w:ascii="Tahoma" w:hAnsi="Tahoma" w:cs="Tahoma"/>
                <w:color w:val="auto"/>
                <w:sz w:val="22"/>
                <w:szCs w:val="22"/>
              </w:rPr>
              <w:t>quipment</w:t>
            </w:r>
            <w:r w:rsidR="00D27174">
              <w:rPr>
                <w:rFonts w:ascii="Tahoma" w:hAnsi="Tahoma" w:cs="Tahoma"/>
                <w:color w:val="auto"/>
                <w:sz w:val="22"/>
                <w:szCs w:val="22"/>
              </w:rPr>
              <w:t xml:space="preserve"> S</w:t>
            </w:r>
            <w:r w:rsidR="006837A9">
              <w:rPr>
                <w:rFonts w:ascii="Tahoma" w:hAnsi="Tahoma" w:cs="Tahoma"/>
                <w:color w:val="auto"/>
                <w:sz w:val="22"/>
                <w:szCs w:val="22"/>
              </w:rPr>
              <w:t>tore arrangements</w:t>
            </w:r>
            <w:r w:rsidR="00AE5754">
              <w:rPr>
                <w:rFonts w:ascii="Tahoma" w:hAnsi="Tahoma" w:cs="Tahoma"/>
                <w:color w:val="auto"/>
                <w:sz w:val="22"/>
                <w:szCs w:val="22"/>
              </w:rPr>
              <w:t xml:space="preserve">, including </w:t>
            </w:r>
            <w:r w:rsidR="00D27174">
              <w:rPr>
                <w:rFonts w:ascii="Tahoma" w:hAnsi="Tahoma" w:cs="Tahoma"/>
                <w:color w:val="auto"/>
                <w:sz w:val="22"/>
                <w:szCs w:val="22"/>
              </w:rPr>
              <w:t>a formal options appraisal in respect of</w:t>
            </w:r>
            <w:r w:rsidR="00AE5754">
              <w:rPr>
                <w:rFonts w:ascii="Tahoma" w:hAnsi="Tahoma" w:cs="Tahoma"/>
                <w:color w:val="auto"/>
                <w:sz w:val="22"/>
                <w:szCs w:val="22"/>
              </w:rPr>
              <w:t xml:space="preserve"> further integration</w:t>
            </w:r>
            <w:r w:rsidR="00D27174">
              <w:rPr>
                <w:rFonts w:ascii="Tahoma" w:hAnsi="Tahoma" w:cs="Tahoma"/>
                <w:color w:val="auto"/>
                <w:sz w:val="22"/>
                <w:szCs w:val="22"/>
              </w:rPr>
              <w:t xml:space="preserve"> opportunities</w:t>
            </w:r>
            <w:r w:rsidR="00AE5754">
              <w:rPr>
                <w:rFonts w:ascii="Tahoma" w:hAnsi="Tahoma" w:cs="Tahoma"/>
                <w:color w:val="auto"/>
                <w:sz w:val="22"/>
                <w:szCs w:val="22"/>
              </w:rPr>
              <w:t>.</w:t>
            </w:r>
          </w:p>
          <w:p w:rsidR="001B180A" w:rsidRPr="00D27174" w:rsidRDefault="00BE6CD4" w:rsidP="00D27174">
            <w:pPr>
              <w:pStyle w:val="Default"/>
              <w:spacing w:after="142"/>
              <w:rPr>
                <w:rFonts w:ascii="Tahoma" w:hAnsi="Tahoma" w:cs="Tahoma"/>
                <w:color w:val="auto"/>
                <w:sz w:val="22"/>
                <w:szCs w:val="22"/>
              </w:rPr>
            </w:pPr>
            <w:r>
              <w:rPr>
                <w:rFonts w:ascii="Tahoma" w:hAnsi="Tahoma" w:cs="Tahoma"/>
                <w:color w:val="auto"/>
                <w:sz w:val="22"/>
                <w:szCs w:val="22"/>
              </w:rPr>
              <w:t>As well as agreeing sign off of the care home placement agreement</w:t>
            </w:r>
            <w:r w:rsidR="00AE5754">
              <w:rPr>
                <w:rFonts w:ascii="Tahoma" w:hAnsi="Tahoma" w:cs="Tahoma"/>
                <w:color w:val="auto"/>
                <w:sz w:val="22"/>
                <w:szCs w:val="22"/>
              </w:rPr>
              <w:t xml:space="preserve"> range of activity will take place in respect of t</w:t>
            </w:r>
            <w:r w:rsidR="001B180A">
              <w:rPr>
                <w:rFonts w:ascii="Tahoma" w:hAnsi="Tahoma" w:cs="Tahoma"/>
                <w:color w:val="auto"/>
                <w:sz w:val="22"/>
                <w:szCs w:val="22"/>
              </w:rPr>
              <w:t xml:space="preserve">he </w:t>
            </w:r>
            <w:r w:rsidR="00AE5754">
              <w:rPr>
                <w:rFonts w:ascii="Tahoma" w:hAnsi="Tahoma" w:cs="Tahoma"/>
                <w:color w:val="auto"/>
                <w:sz w:val="22"/>
                <w:szCs w:val="22"/>
              </w:rPr>
              <w:t xml:space="preserve">care home project.  This will include further work </w:t>
            </w:r>
            <w:r w:rsidR="00D27174">
              <w:rPr>
                <w:rFonts w:ascii="Tahoma" w:hAnsi="Tahoma" w:cs="Tahoma"/>
                <w:color w:val="auto"/>
                <w:sz w:val="22"/>
                <w:szCs w:val="22"/>
              </w:rPr>
              <w:t xml:space="preserve">including developing an integrated Pre-Placement Agreement for contracting, reviewing placement processes and delegations, developing proposals for improved information for placement </w:t>
            </w:r>
            <w:r w:rsidR="00D27174">
              <w:rPr>
                <w:rFonts w:ascii="Tahoma" w:hAnsi="Tahoma" w:cs="Tahoma"/>
                <w:color w:val="auto"/>
                <w:sz w:val="22"/>
                <w:szCs w:val="22"/>
              </w:rPr>
              <w:lastRenderedPageBreak/>
              <w:t>brokering and modelling methods for the collation of financial and activity data necessary for the hosting function.</w:t>
            </w:r>
          </w:p>
        </w:tc>
      </w:tr>
      <w:tr w:rsidR="00722777" w:rsidRPr="00722777" w:rsidTr="008403F1">
        <w:tc>
          <w:tcPr>
            <w:tcW w:w="3828" w:type="dxa"/>
            <w:shd w:val="clear" w:color="auto" w:fill="D9D9D9" w:themeFill="background1" w:themeFillShade="D9"/>
          </w:tcPr>
          <w:p w:rsidR="00722777" w:rsidRPr="00682CCA" w:rsidRDefault="00722777" w:rsidP="00524893">
            <w:pPr>
              <w:tabs>
                <w:tab w:val="left" w:pos="2280"/>
              </w:tabs>
              <w:rPr>
                <w:rFonts w:ascii="Tahoma" w:hAnsi="Tahoma" w:cs="Tahoma"/>
                <w:bCs/>
              </w:rPr>
            </w:pPr>
            <w:r w:rsidRPr="00682CCA">
              <w:rPr>
                <w:rFonts w:ascii="Tahoma" w:hAnsi="Tahoma" w:cs="Tahoma"/>
                <w:bCs/>
              </w:rPr>
              <w:lastRenderedPageBreak/>
              <w:t>Financial status</w:t>
            </w:r>
          </w:p>
        </w:tc>
        <w:tc>
          <w:tcPr>
            <w:tcW w:w="6378" w:type="dxa"/>
          </w:tcPr>
          <w:p w:rsidR="00EC3FC3" w:rsidRPr="00EC3FC3" w:rsidRDefault="00EC3FC3" w:rsidP="00943F3D">
            <w:pPr>
              <w:pStyle w:val="Default"/>
              <w:rPr>
                <w:rFonts w:ascii="Tahoma" w:hAnsi="Tahoma" w:cs="Tahoma"/>
                <w:color w:val="auto"/>
                <w:sz w:val="22"/>
                <w:szCs w:val="22"/>
              </w:rPr>
            </w:pPr>
            <w:r>
              <w:rPr>
                <w:rFonts w:ascii="Tahoma" w:hAnsi="Tahoma" w:cs="Tahoma"/>
                <w:color w:val="auto"/>
                <w:sz w:val="22"/>
                <w:szCs w:val="22"/>
              </w:rPr>
              <w:t>Total ICF allocation for 2017/18 is £</w:t>
            </w:r>
            <w:r w:rsidR="00386C95">
              <w:rPr>
                <w:rFonts w:ascii="Tahoma" w:hAnsi="Tahoma" w:cs="Tahoma"/>
                <w:color w:val="auto"/>
                <w:sz w:val="22"/>
                <w:szCs w:val="22"/>
              </w:rPr>
              <w:t>54k</w:t>
            </w:r>
          </w:p>
        </w:tc>
      </w:tr>
    </w:tbl>
    <w:p w:rsidR="00524893" w:rsidRDefault="00524893" w:rsidP="00FF1625">
      <w:pPr>
        <w:tabs>
          <w:tab w:val="left" w:pos="2280"/>
        </w:tabs>
        <w:jc w:val="center"/>
        <w:rPr>
          <w:rFonts w:ascii="Tahoma" w:hAnsi="Tahoma" w:cs="Tahoma"/>
        </w:rPr>
      </w:pPr>
    </w:p>
    <w:p w:rsidR="00524893" w:rsidRDefault="00524893" w:rsidP="00524893">
      <w:pPr>
        <w:pStyle w:val="Default"/>
      </w:pPr>
    </w:p>
    <w:p w:rsidR="00524893" w:rsidRPr="00722777" w:rsidRDefault="00722777" w:rsidP="00722777">
      <w:pPr>
        <w:pStyle w:val="Default"/>
      </w:pPr>
      <w:r>
        <w:t xml:space="preserve"> </w:t>
      </w:r>
      <w:r w:rsidR="00524893">
        <w:rPr>
          <w:sz w:val="23"/>
          <w:szCs w:val="23"/>
        </w:rPr>
        <w:t xml:space="preserve"> </w:t>
      </w:r>
    </w:p>
    <w:p w:rsidR="00524893" w:rsidRDefault="00524893" w:rsidP="00FF1625">
      <w:pPr>
        <w:tabs>
          <w:tab w:val="left" w:pos="2280"/>
        </w:tabs>
        <w:jc w:val="center"/>
        <w:rPr>
          <w:rFonts w:ascii="Tahoma" w:hAnsi="Tahoma" w:cs="Tahoma"/>
        </w:rPr>
      </w:pPr>
    </w:p>
    <w:p w:rsidR="00524893" w:rsidRPr="00FF1625" w:rsidRDefault="00524893" w:rsidP="00FF1625">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2C" w:rsidRDefault="00115A2C" w:rsidP="00DA20B1">
      <w:pPr>
        <w:spacing w:after="0" w:line="240" w:lineRule="auto"/>
      </w:pPr>
      <w:r>
        <w:separator/>
      </w:r>
    </w:p>
  </w:endnote>
  <w:endnote w:type="continuationSeparator" w:id="0">
    <w:p w:rsidR="00115A2C" w:rsidRDefault="00115A2C" w:rsidP="00D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2C" w:rsidRDefault="00115A2C" w:rsidP="00DA20B1">
      <w:pPr>
        <w:spacing w:after="0" w:line="240" w:lineRule="auto"/>
      </w:pPr>
      <w:r>
        <w:separator/>
      </w:r>
    </w:p>
  </w:footnote>
  <w:footnote w:type="continuationSeparator" w:id="0">
    <w:p w:rsidR="00115A2C" w:rsidRDefault="00115A2C" w:rsidP="00DA2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1599"/>
    <w:multiLevelType w:val="hybridMultilevel"/>
    <w:tmpl w:val="96EA056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0"/>
    <w:rsid w:val="000027D1"/>
    <w:rsid w:val="00037F60"/>
    <w:rsid w:val="0009267D"/>
    <w:rsid w:val="000B7AEF"/>
    <w:rsid w:val="000D3841"/>
    <w:rsid w:val="000E6CE8"/>
    <w:rsid w:val="00104EC8"/>
    <w:rsid w:val="00115A2C"/>
    <w:rsid w:val="0012169D"/>
    <w:rsid w:val="001269FE"/>
    <w:rsid w:val="0019168A"/>
    <w:rsid w:val="001B180A"/>
    <w:rsid w:val="0022102F"/>
    <w:rsid w:val="002246D3"/>
    <w:rsid w:val="002E5226"/>
    <w:rsid w:val="002F583C"/>
    <w:rsid w:val="00300AD6"/>
    <w:rsid w:val="00371C43"/>
    <w:rsid w:val="003762A5"/>
    <w:rsid w:val="00386C95"/>
    <w:rsid w:val="003A1628"/>
    <w:rsid w:val="003A4C8F"/>
    <w:rsid w:val="003C7633"/>
    <w:rsid w:val="00405E8A"/>
    <w:rsid w:val="004122CE"/>
    <w:rsid w:val="00443E65"/>
    <w:rsid w:val="00453E5C"/>
    <w:rsid w:val="004F5416"/>
    <w:rsid w:val="00524893"/>
    <w:rsid w:val="005651FC"/>
    <w:rsid w:val="005C7AC9"/>
    <w:rsid w:val="005D0EF4"/>
    <w:rsid w:val="00621C01"/>
    <w:rsid w:val="00642CC8"/>
    <w:rsid w:val="00675ADF"/>
    <w:rsid w:val="00675F1A"/>
    <w:rsid w:val="00682CCA"/>
    <w:rsid w:val="006837A9"/>
    <w:rsid w:val="006D4EF7"/>
    <w:rsid w:val="006D63DA"/>
    <w:rsid w:val="00722777"/>
    <w:rsid w:val="007414DC"/>
    <w:rsid w:val="007E41E1"/>
    <w:rsid w:val="00816755"/>
    <w:rsid w:val="00825BA3"/>
    <w:rsid w:val="008403F1"/>
    <w:rsid w:val="008447EB"/>
    <w:rsid w:val="00883791"/>
    <w:rsid w:val="008F32B1"/>
    <w:rsid w:val="008F7357"/>
    <w:rsid w:val="00937972"/>
    <w:rsid w:val="00943F3D"/>
    <w:rsid w:val="00997354"/>
    <w:rsid w:val="00A41C17"/>
    <w:rsid w:val="00A57721"/>
    <w:rsid w:val="00AE5754"/>
    <w:rsid w:val="00AF3B85"/>
    <w:rsid w:val="00B6666D"/>
    <w:rsid w:val="00BA12A3"/>
    <w:rsid w:val="00BA68ED"/>
    <w:rsid w:val="00BB2ED5"/>
    <w:rsid w:val="00BC576A"/>
    <w:rsid w:val="00BC65D5"/>
    <w:rsid w:val="00BD2BC7"/>
    <w:rsid w:val="00BE6CD4"/>
    <w:rsid w:val="00C02B79"/>
    <w:rsid w:val="00C41C63"/>
    <w:rsid w:val="00C57945"/>
    <w:rsid w:val="00C60D50"/>
    <w:rsid w:val="00CE729D"/>
    <w:rsid w:val="00CF2A07"/>
    <w:rsid w:val="00D27174"/>
    <w:rsid w:val="00D40491"/>
    <w:rsid w:val="00D638A0"/>
    <w:rsid w:val="00DA0BB8"/>
    <w:rsid w:val="00DA20B1"/>
    <w:rsid w:val="00E51E3F"/>
    <w:rsid w:val="00E812D2"/>
    <w:rsid w:val="00EB7530"/>
    <w:rsid w:val="00EC07DF"/>
    <w:rsid w:val="00EC3FC3"/>
    <w:rsid w:val="00EE3E6B"/>
    <w:rsid w:val="00EE41EA"/>
    <w:rsid w:val="00EF0502"/>
    <w:rsid w:val="00F0264F"/>
    <w:rsid w:val="00F32881"/>
    <w:rsid w:val="00F44077"/>
    <w:rsid w:val="00F5544C"/>
    <w:rsid w:val="00F57166"/>
    <w:rsid w:val="00F77B8A"/>
    <w:rsid w:val="00F9375F"/>
    <w:rsid w:val="00FB4CFF"/>
    <w:rsid w:val="00FB5936"/>
    <w:rsid w:val="00FD53E0"/>
    <w:rsid w:val="00FF1625"/>
    <w:rsid w:val="00FF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5357347-6B9B-4FCB-AA9C-D8B08A7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2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0B1"/>
  </w:style>
  <w:style w:type="paragraph" w:styleId="Footer">
    <w:name w:val="footer"/>
    <w:basedOn w:val="Normal"/>
    <w:link w:val="FooterChar"/>
    <w:uiPriority w:val="99"/>
    <w:unhideWhenUsed/>
    <w:rsid w:val="00DA2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0B1"/>
  </w:style>
  <w:style w:type="paragraph" w:styleId="NoSpacing">
    <w:name w:val="No Spacing"/>
    <w:uiPriority w:val="1"/>
    <w:qFormat/>
    <w:rsid w:val="00BC576A"/>
    <w:pPr>
      <w:spacing w:after="0" w:line="240" w:lineRule="auto"/>
    </w:pPr>
  </w:style>
  <w:style w:type="paragraph" w:styleId="ListParagraph">
    <w:name w:val="List Paragraph"/>
    <w:basedOn w:val="Normal"/>
    <w:uiPriority w:val="34"/>
    <w:qFormat/>
    <w:rsid w:val="005651FC"/>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304">
      <w:bodyDiv w:val="1"/>
      <w:marLeft w:val="0"/>
      <w:marRight w:val="0"/>
      <w:marTop w:val="0"/>
      <w:marBottom w:val="0"/>
      <w:divBdr>
        <w:top w:val="none" w:sz="0" w:space="0" w:color="auto"/>
        <w:left w:val="none" w:sz="0" w:space="0" w:color="auto"/>
        <w:bottom w:val="none" w:sz="0" w:space="0" w:color="auto"/>
        <w:right w:val="none" w:sz="0" w:space="0" w:color="auto"/>
      </w:divBdr>
    </w:div>
    <w:div w:id="5818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 Davies</dc:creator>
  <cp:keywords/>
  <dc:description/>
  <cp:lastModifiedBy>Martyn J Palfreman</cp:lastModifiedBy>
  <cp:revision>2</cp:revision>
  <dcterms:created xsi:type="dcterms:W3CDTF">2018-02-08T13:39:00Z</dcterms:created>
  <dcterms:modified xsi:type="dcterms:W3CDTF">2018-02-08T13:39:00Z</dcterms:modified>
</cp:coreProperties>
</file>